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2198" w14:textId="77777777" w:rsidR="00DF7175" w:rsidRDefault="008807C2">
      <w:pPr>
        <w:pStyle w:val="Textoindependiente"/>
        <w:ind w:left="636"/>
        <w:rPr>
          <w:rFonts w:ascii="Times New Roman"/>
          <w:sz w:val="20"/>
        </w:rPr>
      </w:pPr>
      <w:r>
        <w:rPr>
          <w:rFonts w:ascii="Times New Roman"/>
          <w:noProof/>
          <w:sz w:val="20"/>
        </w:rPr>
        <w:drawing>
          <wp:inline distT="0" distB="0" distL="0" distR="0" wp14:anchorId="622D8609" wp14:editId="077BE7EE">
            <wp:extent cx="1258001" cy="3440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8001" cy="344043"/>
                    </a:xfrm>
                    <a:prstGeom prst="rect">
                      <a:avLst/>
                    </a:prstGeom>
                  </pic:spPr>
                </pic:pic>
              </a:graphicData>
            </a:graphic>
          </wp:inline>
        </w:drawing>
      </w:r>
    </w:p>
    <w:p w14:paraId="6081B549" w14:textId="77777777" w:rsidR="00DF7175" w:rsidRDefault="008807C2">
      <w:pPr>
        <w:spacing w:before="3"/>
        <w:ind w:left="1343"/>
        <w:rPr>
          <w:b/>
          <w:sz w:val="15"/>
        </w:rPr>
      </w:pPr>
      <w:r>
        <w:rPr>
          <w:b/>
          <w:sz w:val="15"/>
        </w:rPr>
        <w:t>Secretaría General</w:t>
      </w:r>
    </w:p>
    <w:p w14:paraId="6B148F07" w14:textId="77777777" w:rsidR="00DF7175" w:rsidRDefault="00DF7175">
      <w:pPr>
        <w:pStyle w:val="Textoindependiente"/>
        <w:spacing w:before="182"/>
        <w:ind w:left="0"/>
        <w:rPr>
          <w:b/>
        </w:rPr>
      </w:pPr>
    </w:p>
    <w:p w14:paraId="0EBFF3C3" w14:textId="77777777" w:rsidR="00DF7175" w:rsidRDefault="008807C2">
      <w:pPr>
        <w:pStyle w:val="Ttulo1"/>
        <w:spacing w:before="1"/>
      </w:pPr>
      <w:r>
        <w:t>PLENO DEL CONSEJO MUNICIPAL</w:t>
      </w:r>
    </w:p>
    <w:p w14:paraId="74F728D3" w14:textId="77777777" w:rsidR="00DF7175" w:rsidRDefault="008807C2">
      <w:pPr>
        <w:pStyle w:val="Textoindependiente"/>
        <w:spacing w:before="292"/>
      </w:pPr>
      <w:r>
        <w:t>Sesión ordinaria de 27 de junio de 2025</w:t>
      </w:r>
    </w:p>
    <w:p w14:paraId="48E60E34" w14:textId="77777777" w:rsidR="00DF7175" w:rsidRDefault="00DF7175">
      <w:pPr>
        <w:pStyle w:val="Textoindependiente"/>
        <w:spacing w:before="2"/>
        <w:ind w:left="0"/>
      </w:pPr>
    </w:p>
    <w:p w14:paraId="3CBBBBEE" w14:textId="77777777" w:rsidR="00DF7175" w:rsidRDefault="008807C2">
      <w:pPr>
        <w:pStyle w:val="Ttulo1"/>
      </w:pPr>
      <w:r>
        <w:t>ORDEN DEL DÍA</w:t>
      </w:r>
    </w:p>
    <w:p w14:paraId="0925678A" w14:textId="77777777" w:rsidR="00DF7175" w:rsidRDefault="00DF7175">
      <w:pPr>
        <w:pStyle w:val="Textoindependiente"/>
        <w:spacing w:before="292"/>
        <w:ind w:left="0"/>
        <w:rPr>
          <w:b/>
        </w:rPr>
      </w:pPr>
    </w:p>
    <w:p w14:paraId="7B01D6F2" w14:textId="77777777" w:rsidR="00DF7175" w:rsidRDefault="008807C2">
      <w:pPr>
        <w:pStyle w:val="Prrafodelista"/>
        <w:numPr>
          <w:ilvl w:val="0"/>
          <w:numId w:val="3"/>
        </w:numPr>
        <w:tabs>
          <w:tab w:val="left" w:pos="1607"/>
        </w:tabs>
        <w:spacing w:before="1"/>
        <w:ind w:left="1607" w:hanging="264"/>
        <w:rPr>
          <w:sz w:val="24"/>
        </w:rPr>
      </w:pPr>
      <w:r>
        <w:rPr>
          <w:sz w:val="24"/>
          <w:u w:val="single"/>
        </w:rPr>
        <w:t>Aprobación del acta de la sesión anterior</w:t>
      </w:r>
    </w:p>
    <w:p w14:paraId="109FFC80" w14:textId="77777777" w:rsidR="00DF7175" w:rsidRDefault="008807C2">
      <w:pPr>
        <w:pStyle w:val="Textoindependiente"/>
        <w:spacing w:before="292"/>
      </w:pPr>
      <w:r>
        <w:t>Sesión ordinaria de 30 de mayo de 2025</w:t>
      </w:r>
    </w:p>
    <w:p w14:paraId="64A67445" w14:textId="77777777" w:rsidR="00DF7175" w:rsidRDefault="008807C2">
      <w:pPr>
        <w:pStyle w:val="Prrafodelista"/>
        <w:numPr>
          <w:ilvl w:val="0"/>
          <w:numId w:val="3"/>
        </w:numPr>
        <w:tabs>
          <w:tab w:val="left" w:pos="1599"/>
        </w:tabs>
        <w:spacing w:before="240"/>
        <w:ind w:left="1599" w:hanging="256"/>
        <w:rPr>
          <w:sz w:val="24"/>
        </w:rPr>
      </w:pPr>
      <w:r>
        <w:rPr>
          <w:sz w:val="24"/>
          <w:u w:val="single"/>
        </w:rPr>
        <w:t>Parte informativa</w:t>
      </w:r>
    </w:p>
    <w:p w14:paraId="60C756A1" w14:textId="77777777" w:rsidR="00DF7175" w:rsidRDefault="00DF7175">
      <w:pPr>
        <w:pStyle w:val="Textoindependiente"/>
        <w:ind w:left="0"/>
      </w:pPr>
    </w:p>
    <w:p w14:paraId="5A5336FA" w14:textId="77777777" w:rsidR="00DF7175" w:rsidRDefault="008807C2">
      <w:pPr>
        <w:pStyle w:val="Prrafodelista"/>
        <w:numPr>
          <w:ilvl w:val="1"/>
          <w:numId w:val="3"/>
        </w:numPr>
        <w:tabs>
          <w:tab w:val="left" w:pos="1583"/>
        </w:tabs>
        <w:ind w:left="1583" w:hanging="240"/>
        <w:rPr>
          <w:sz w:val="24"/>
        </w:rPr>
      </w:pPr>
      <w:r>
        <w:rPr>
          <w:sz w:val="24"/>
        </w:rPr>
        <w:t>Despacho de oficio</w:t>
      </w:r>
    </w:p>
    <w:p w14:paraId="45710284" w14:textId="77777777" w:rsidR="00DF7175" w:rsidRDefault="008807C2">
      <w:pPr>
        <w:pStyle w:val="Prrafodelista"/>
        <w:numPr>
          <w:ilvl w:val="1"/>
          <w:numId w:val="3"/>
        </w:numPr>
        <w:tabs>
          <w:tab w:val="left" w:pos="1595"/>
        </w:tabs>
        <w:ind w:left="1595" w:hanging="252"/>
        <w:rPr>
          <w:sz w:val="24"/>
        </w:rPr>
      </w:pPr>
      <w:r>
        <w:rPr>
          <w:sz w:val="24"/>
        </w:rPr>
        <w:t>Medidas de gobierno</w:t>
      </w:r>
    </w:p>
    <w:p w14:paraId="1B7A58CC" w14:textId="77777777" w:rsidR="00DF7175" w:rsidRDefault="008807C2">
      <w:pPr>
        <w:pStyle w:val="Prrafodelista"/>
        <w:numPr>
          <w:ilvl w:val="1"/>
          <w:numId w:val="3"/>
        </w:numPr>
        <w:tabs>
          <w:tab w:val="left" w:pos="1569"/>
        </w:tabs>
        <w:ind w:left="1569" w:hanging="226"/>
        <w:rPr>
          <w:sz w:val="24"/>
        </w:rPr>
      </w:pPr>
      <w:r>
        <w:rPr>
          <w:sz w:val="24"/>
        </w:rPr>
        <w:t>Informes</w:t>
      </w:r>
    </w:p>
    <w:p w14:paraId="3FAD5197" w14:textId="77777777" w:rsidR="00DF7175" w:rsidRDefault="00DF7175">
      <w:pPr>
        <w:pStyle w:val="Textoindependiente"/>
        <w:ind w:left="0"/>
      </w:pPr>
    </w:p>
    <w:p w14:paraId="771FF2A2" w14:textId="77777777" w:rsidR="00DF7175" w:rsidRDefault="008807C2">
      <w:pPr>
        <w:pStyle w:val="Prrafodelista"/>
        <w:numPr>
          <w:ilvl w:val="0"/>
          <w:numId w:val="3"/>
        </w:numPr>
        <w:tabs>
          <w:tab w:val="left" w:pos="1597"/>
        </w:tabs>
        <w:ind w:left="1597" w:hanging="254"/>
        <w:rPr>
          <w:sz w:val="24"/>
        </w:rPr>
      </w:pPr>
      <w:r>
        <w:rPr>
          <w:sz w:val="24"/>
          <w:u w:val="single"/>
        </w:rPr>
        <w:t>Parte decisoria-ejecutiva</w:t>
      </w:r>
    </w:p>
    <w:p w14:paraId="1FAC1675" w14:textId="77777777" w:rsidR="00DF7175" w:rsidRDefault="00DF7175">
      <w:pPr>
        <w:pStyle w:val="Textoindependiente"/>
        <w:spacing w:before="2"/>
        <w:ind w:left="0"/>
      </w:pPr>
    </w:p>
    <w:p w14:paraId="27E645AC" w14:textId="0B93CD86" w:rsidR="00DF7175" w:rsidRDefault="004C7A6D">
      <w:pPr>
        <w:pStyle w:val="Prrafodelista"/>
        <w:numPr>
          <w:ilvl w:val="0"/>
          <w:numId w:val="2"/>
        </w:numPr>
        <w:tabs>
          <w:tab w:val="left" w:pos="304"/>
          <w:tab w:val="left" w:pos="1343"/>
        </w:tabs>
        <w:ind w:left="304" w:hanging="236"/>
        <w:rPr>
          <w:sz w:val="24"/>
        </w:rPr>
      </w:pPr>
      <w:r>
        <w:rPr>
          <w:sz w:val="24"/>
        </w:rPr>
        <w:t>–</w:t>
      </w:r>
      <w:r>
        <w:rPr>
          <w:sz w:val="24"/>
        </w:rPr>
        <w:tab/>
      </w:r>
      <w:r w:rsidR="008807C2">
        <w:rPr>
          <w:sz w:val="24"/>
        </w:rPr>
        <w:t>a) Declaraciones en expedientes de contratación</w:t>
      </w:r>
    </w:p>
    <w:p w14:paraId="480B8FAE" w14:textId="77777777" w:rsidR="00DF7175" w:rsidRDefault="008807C2">
      <w:pPr>
        <w:pStyle w:val="Prrafodelista"/>
        <w:numPr>
          <w:ilvl w:val="1"/>
          <w:numId w:val="2"/>
        </w:numPr>
        <w:tabs>
          <w:tab w:val="left" w:pos="1595"/>
        </w:tabs>
        <w:ind w:left="1595" w:hanging="252"/>
        <w:rPr>
          <w:sz w:val="24"/>
        </w:rPr>
      </w:pPr>
      <w:r>
        <w:rPr>
          <w:sz w:val="24"/>
        </w:rPr>
        <w:t>Ratificaciones</w:t>
      </w:r>
    </w:p>
    <w:p w14:paraId="7E93E8E3" w14:textId="77777777" w:rsidR="00DF7175" w:rsidRDefault="008807C2">
      <w:pPr>
        <w:pStyle w:val="Prrafodelista"/>
        <w:numPr>
          <w:ilvl w:val="1"/>
          <w:numId w:val="2"/>
        </w:numPr>
        <w:tabs>
          <w:tab w:val="left" w:pos="1569"/>
        </w:tabs>
        <w:ind w:left="1569" w:hanging="226"/>
        <w:rPr>
          <w:sz w:val="24"/>
        </w:rPr>
      </w:pPr>
      <w:r>
        <w:rPr>
          <w:sz w:val="24"/>
        </w:rPr>
        <w:t>Propuestas de acuerdo</w:t>
      </w:r>
    </w:p>
    <w:p w14:paraId="0B5A5523" w14:textId="77777777" w:rsidR="00DF7175" w:rsidRDefault="008807C2">
      <w:pPr>
        <w:pStyle w:val="Ttulo1"/>
        <w:spacing w:before="292"/>
        <w:jc w:val="both"/>
      </w:pPr>
      <w:r>
        <w:t>COMISIÓN DE DERECHOS SOCIALES, CULTURA Y DEPORTES</w:t>
      </w:r>
    </w:p>
    <w:p w14:paraId="2380DF2E" w14:textId="77777777" w:rsidR="00DF7175" w:rsidRDefault="00DF7175">
      <w:pPr>
        <w:pStyle w:val="Textoindependiente"/>
        <w:ind w:left="0"/>
        <w:rPr>
          <w:b/>
        </w:rPr>
      </w:pPr>
    </w:p>
    <w:p w14:paraId="4476B9DA" w14:textId="2F82CEC6" w:rsidR="00DF7175" w:rsidRDefault="008807C2" w:rsidP="008807C2">
      <w:pPr>
        <w:pStyle w:val="Prrafodelista"/>
        <w:numPr>
          <w:ilvl w:val="0"/>
          <w:numId w:val="2"/>
        </w:numPr>
        <w:tabs>
          <w:tab w:val="left" w:pos="304"/>
          <w:tab w:val="left" w:pos="1343"/>
        </w:tabs>
        <w:ind w:left="1343" w:right="190" w:hanging="1275"/>
        <w:jc w:val="both"/>
      </w:pPr>
      <w:r>
        <w:rPr>
          <w:sz w:val="24"/>
        </w:rPr>
        <w:t>–</w:t>
      </w:r>
      <w:r>
        <w:rPr>
          <w:sz w:val="24"/>
        </w:rPr>
        <w:tab/>
        <w:t xml:space="preserve">(20250102) DOTAR de los créditos necesarios a las siguientes partidas del presupuesto municipal del 2025: 0200/46761/23013, 0200/22719/92419, 0200/20200/23254, 0200/21300/93312, 0200/22703/23036, 0200/63871/15131, 0200/22105/23013 i </w:t>
      </w:r>
      <w:r>
        <w:t>0200/20200/23013, según el detalle que consta en el anexo I, que forma parte de este acuerdo a todos los efectos, para hacer frente a los gastos contraídos en ejercicios anteriores.</w:t>
      </w:r>
    </w:p>
    <w:p w14:paraId="3B269E83" w14:textId="77777777" w:rsidR="008807C2" w:rsidRDefault="008807C2" w:rsidP="008807C2">
      <w:pPr>
        <w:tabs>
          <w:tab w:val="left" w:pos="304"/>
          <w:tab w:val="left" w:pos="1343"/>
        </w:tabs>
        <w:ind w:left="68" w:right="190"/>
        <w:jc w:val="both"/>
      </w:pPr>
    </w:p>
    <w:p w14:paraId="5FA3BF0F" w14:textId="55CA64EA" w:rsidR="00DF7175" w:rsidRPr="008807C2" w:rsidRDefault="008807C2" w:rsidP="008807C2">
      <w:pPr>
        <w:pStyle w:val="Prrafodelista"/>
        <w:numPr>
          <w:ilvl w:val="0"/>
          <w:numId w:val="2"/>
        </w:numPr>
        <w:tabs>
          <w:tab w:val="left" w:pos="304"/>
          <w:tab w:val="left" w:pos="1343"/>
          <w:tab w:val="left" w:pos="3423"/>
          <w:tab w:val="left" w:pos="5627"/>
          <w:tab w:val="left" w:pos="7829"/>
        </w:tabs>
        <w:spacing w:before="5" w:line="246" w:lineRule="exact"/>
        <w:ind w:left="1301" w:right="190" w:hanging="1275"/>
        <w:jc w:val="both"/>
        <w:rPr>
          <w:sz w:val="24"/>
          <w:szCs w:val="24"/>
        </w:rPr>
      </w:pPr>
      <w:r>
        <w:rPr>
          <w:sz w:val="24"/>
        </w:rPr>
        <w:t>–</w:t>
      </w:r>
      <w:r>
        <w:rPr>
          <w:sz w:val="24"/>
        </w:rPr>
        <w:tab/>
        <w:t>(20250099) DOTAR de los créditos necesarios las siguientes aplicaciones del presupuesto del Instituto Municipal de Servicios Sociales del año 2025: 0101/16200/23105, 0101/22699/23104, 0102/22699/23130, 0102/22732/23120, 0103/20200/23162, 0103/22699/23140, 0103/22699/23142, 0103/22732/23143, 0103/22738/23143, según el detalle que consta en el anexo I, que forma parte de este acuerdo a todos los efectos, para hacer frente a los gastos contraídos en ejercicios anteriores.</w:t>
      </w:r>
    </w:p>
    <w:p w14:paraId="27E587C1" w14:textId="77777777" w:rsidR="00DF7175" w:rsidRDefault="00DF7175">
      <w:pPr>
        <w:pStyle w:val="Textoindependiente"/>
        <w:ind w:left="0"/>
      </w:pPr>
    </w:p>
    <w:p w14:paraId="2B95C0C5" w14:textId="77777777" w:rsidR="00DF7175" w:rsidRDefault="008807C2">
      <w:pPr>
        <w:pStyle w:val="Prrafodelista"/>
        <w:numPr>
          <w:ilvl w:val="0"/>
          <w:numId w:val="2"/>
        </w:numPr>
        <w:tabs>
          <w:tab w:val="left" w:pos="304"/>
          <w:tab w:val="left" w:pos="1343"/>
        </w:tabs>
        <w:ind w:left="1343" w:right="191" w:hanging="1275"/>
        <w:jc w:val="both"/>
        <w:rPr>
          <w:sz w:val="24"/>
        </w:rPr>
      </w:pPr>
      <w:r>
        <w:rPr>
          <w:sz w:val="24"/>
        </w:rPr>
        <w:t>–</w:t>
      </w:r>
      <w:r>
        <w:rPr>
          <w:sz w:val="24"/>
        </w:rPr>
        <w:tab/>
        <w:t xml:space="preserve">(25XF0314) APROBAR el reconocimiento de crédito por un importe total de 6,17 euros, dada la necesidad de efectuar el pago de las facturas incluidas en la relación adjunta, presentadas por ENDESA ENERGIA SA, con NIF A81948077, correspondientes a los gastos del suministro de gas de los centros educativos gestionados por el IMEB. AUTORIZAR, DISPONER y RECONOCER la obligación del gasto por un importe de 6,17 euros, con cargo a la aplicación presupuestaria D/2 2102/32020 del presupuesto 2025, a favor de ENDESA ENERGIA SA, en concepto de pago de las facturas </w:t>
      </w:r>
      <w:r>
        <w:rPr>
          <w:sz w:val="24"/>
        </w:rPr>
        <w:lastRenderedPageBreak/>
        <w:t>relacionadas.</w:t>
      </w:r>
    </w:p>
    <w:p w14:paraId="4846F7FE" w14:textId="77777777" w:rsidR="00DF7175" w:rsidRDefault="00DF7175">
      <w:pPr>
        <w:pStyle w:val="Prrafodelista"/>
        <w:rPr>
          <w:sz w:val="24"/>
        </w:rPr>
      </w:pPr>
    </w:p>
    <w:p w14:paraId="440C6666" w14:textId="77777777" w:rsidR="008807C2" w:rsidRDefault="008807C2">
      <w:pPr>
        <w:pStyle w:val="Prrafodelista"/>
        <w:rPr>
          <w:sz w:val="24"/>
        </w:rPr>
      </w:pPr>
    </w:p>
    <w:p w14:paraId="52E4B730" w14:textId="77777777" w:rsidR="008807C2" w:rsidRDefault="008807C2">
      <w:pPr>
        <w:pStyle w:val="Prrafodelista"/>
        <w:rPr>
          <w:sz w:val="24"/>
        </w:rPr>
      </w:pPr>
    </w:p>
    <w:p w14:paraId="64B02377" w14:textId="77777777" w:rsidR="008807C2" w:rsidRDefault="008807C2">
      <w:pPr>
        <w:pStyle w:val="Prrafodelista"/>
        <w:rPr>
          <w:sz w:val="24"/>
        </w:rPr>
      </w:pPr>
    </w:p>
    <w:p w14:paraId="485C6812" w14:textId="77777777" w:rsidR="00DF7175" w:rsidRDefault="008807C2">
      <w:pPr>
        <w:pStyle w:val="Ttulo1"/>
        <w:spacing w:before="39"/>
      </w:pPr>
      <w:r>
        <w:t>COMISIÓN DE ECONOMÍA Y HACIENDA</w:t>
      </w:r>
    </w:p>
    <w:p w14:paraId="1C114492" w14:textId="77777777" w:rsidR="00DF7175" w:rsidRDefault="00DF7175">
      <w:pPr>
        <w:pStyle w:val="Textoindependiente"/>
        <w:ind w:left="0"/>
        <w:rPr>
          <w:b/>
        </w:rPr>
      </w:pPr>
    </w:p>
    <w:p w14:paraId="5D805A32" w14:textId="77777777" w:rsidR="00DF7175" w:rsidRDefault="008807C2">
      <w:pPr>
        <w:pStyle w:val="Prrafodelista"/>
        <w:numPr>
          <w:ilvl w:val="0"/>
          <w:numId w:val="2"/>
        </w:numPr>
        <w:tabs>
          <w:tab w:val="left" w:pos="304"/>
          <w:tab w:val="left" w:pos="1343"/>
        </w:tabs>
        <w:ind w:left="1343" w:right="184" w:hanging="1275"/>
        <w:jc w:val="both"/>
        <w:rPr>
          <w:sz w:val="24"/>
        </w:rPr>
      </w:pPr>
      <w:r>
        <w:rPr>
          <w:sz w:val="24"/>
        </w:rPr>
        <w:t>–</w:t>
      </w:r>
      <w:r>
        <w:rPr>
          <w:sz w:val="24"/>
        </w:rPr>
        <w:tab/>
        <w:t xml:space="preserve">(s/n) ADOPTAR, en el ejercicio de las competencias reservadas al Ayuntamiento como socio único de la sociedad Barcelona Activa, SA, el siguiente acuerdo: 1. DESIGNAR a la Sra. Laia Castellana Martínez miembro del Consejo de Administración de la mencionada sociedad, en sustitución del Sr. Albert </w:t>
      </w:r>
      <w:proofErr w:type="spellStart"/>
      <w:r>
        <w:rPr>
          <w:sz w:val="24"/>
        </w:rPr>
        <w:t>Deusedes</w:t>
      </w:r>
      <w:proofErr w:type="spellEnd"/>
      <w:r>
        <w:rPr>
          <w:sz w:val="24"/>
        </w:rPr>
        <w:t xml:space="preserve"> Perelló. 2. ESTABLECER que el plazo de designación del consejero que se nombra sea el establecido en los respectivos estatutos, sin perjuicio de la renovación que fuera procedente en el cambio de mandato consistorial. 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2011231B" w14:textId="77777777" w:rsidR="00DF7175" w:rsidRDefault="00DF7175">
      <w:pPr>
        <w:pStyle w:val="Textoindependiente"/>
        <w:spacing w:before="1"/>
        <w:ind w:left="0"/>
      </w:pPr>
    </w:p>
    <w:p w14:paraId="4C7C8EB6" w14:textId="77777777" w:rsidR="00DF7175" w:rsidRDefault="008807C2">
      <w:pPr>
        <w:pStyle w:val="Prrafodelista"/>
        <w:numPr>
          <w:ilvl w:val="0"/>
          <w:numId w:val="2"/>
        </w:numPr>
        <w:tabs>
          <w:tab w:val="left" w:pos="304"/>
          <w:tab w:val="left" w:pos="1343"/>
        </w:tabs>
        <w:ind w:left="1343" w:right="183" w:hanging="1275"/>
        <w:jc w:val="both"/>
        <w:rPr>
          <w:sz w:val="24"/>
        </w:rPr>
      </w:pPr>
      <w:r>
        <w:rPr>
          <w:sz w:val="24"/>
        </w:rPr>
        <w:t>–</w:t>
      </w:r>
      <w:r>
        <w:rPr>
          <w:sz w:val="24"/>
        </w:rPr>
        <w:tab/>
        <w:t>(EM 2025-05/04) ADOPTAR, en el ejercicio de las competencias reservadas al Consejo Plenario del Ayuntamiento de Barcelona en relación con las sociedades privadas municipales Barcelona de Servicios Municipales, SA, Información y Comunicación de Barcelona, SA SPM, Barcelona Activa, SAU SPM, Barcelona de Infraestructuras Municipales, SA, Barcelona Ciclo del Agua, SA, y Fomento de Ciudad, SA, los siguientes acuerdos: APROBAR las cuentas anuales de cada sociedad y las cuentas anuales consolidadas de Barcelona de Servicios Municipales, SA, cerradas a 31 de diciembre de 2024, integradas por el balance, la cuenta de pérdidas y ganancias, el estado de cambios en el patrimonio neto, el estado de flujos de efectivo y la memoria. APROBAR los informes de gestión de 2024 de Barcelona de Servicios Municipales, SA, Información y Comunicación de Barcelona, SA SPM; Barcelona de Infraestructuras Municipales, SA; Barcelona Ciclo del Agua, SA, y Fomento de Ciudad, SA. APROBAR el informe de gestión y el estado de información no financiera de las cuentas anuales consolidadas de Barcelona de Servicios Municipales, SA, formado con las sociedades dependientes, cerradas a 31 de diciembre de 2024. APROBAR el informe de gestión del 2024, que incluye el estado de información no financiera de Barcelona Activa, SAU SPM. APROBAR la gestión realizada en el ejercicio 2024 por los administradores respectivos. APROBAR, para cada sociedad, la distribución de resultados del ejercicio cerrado a 31 de diciembre del 2024, según documento que consta en el expediente.</w:t>
      </w:r>
    </w:p>
    <w:p w14:paraId="617BB608" w14:textId="77777777" w:rsidR="00DF7175" w:rsidRDefault="00DF7175">
      <w:pPr>
        <w:pStyle w:val="Textoindependiente"/>
        <w:ind w:left="0"/>
      </w:pPr>
    </w:p>
    <w:p w14:paraId="6203298B" w14:textId="77777777" w:rsidR="00DF7175" w:rsidRDefault="008807C2">
      <w:pPr>
        <w:pStyle w:val="Ttulo1"/>
      </w:pPr>
      <w:r>
        <w:t>COMISIÓN DE PRESIDENCIA, SEGURIDAD Y RÉGIMEN INTERIOR</w:t>
      </w:r>
    </w:p>
    <w:p w14:paraId="2E5DB521" w14:textId="77777777" w:rsidR="00DF7175" w:rsidRDefault="008807C2">
      <w:pPr>
        <w:pStyle w:val="Prrafodelista"/>
        <w:numPr>
          <w:ilvl w:val="0"/>
          <w:numId w:val="2"/>
        </w:numPr>
        <w:tabs>
          <w:tab w:val="left" w:pos="304"/>
          <w:tab w:val="left" w:pos="1343"/>
        </w:tabs>
        <w:spacing w:before="293"/>
        <w:ind w:left="1343" w:right="191" w:hanging="1275"/>
        <w:jc w:val="both"/>
        <w:rPr>
          <w:sz w:val="24"/>
        </w:rPr>
      </w:pPr>
      <w:r>
        <w:rPr>
          <w:sz w:val="24"/>
        </w:rPr>
        <w:t>––</w:t>
      </w:r>
      <w:r>
        <w:rPr>
          <w:sz w:val="24"/>
        </w:rPr>
        <w:tab/>
        <w:t xml:space="preserve">PROPONER, de acuerdo con el apartado b) del artículo 17 de los Estatutos de la Fundación Barcelona Zoo, el nombramiento de la Iltre. Sra. Carme </w:t>
      </w:r>
      <w:proofErr w:type="spellStart"/>
      <w:r>
        <w:rPr>
          <w:sz w:val="24"/>
        </w:rPr>
        <w:t>Lleó</w:t>
      </w:r>
      <w:proofErr w:type="spellEnd"/>
      <w:r>
        <w:rPr>
          <w:sz w:val="24"/>
        </w:rPr>
        <w:t xml:space="preserve"> </w:t>
      </w:r>
      <w:proofErr w:type="spellStart"/>
      <w:r>
        <w:rPr>
          <w:sz w:val="24"/>
        </w:rPr>
        <w:t>Ribal</w:t>
      </w:r>
      <w:proofErr w:type="spellEnd"/>
      <w:r>
        <w:rPr>
          <w:sz w:val="24"/>
        </w:rPr>
        <w:t xml:space="preserve"> como patrón electivo de la mencionada fundación, en sustitución del Iltre. Sr. Jordi Martí </w:t>
      </w:r>
      <w:proofErr w:type="spellStart"/>
      <w:r>
        <w:rPr>
          <w:sz w:val="24"/>
        </w:rPr>
        <w:t>Galbis</w:t>
      </w:r>
      <w:proofErr w:type="spellEnd"/>
      <w:r>
        <w:rPr>
          <w:sz w:val="24"/>
        </w:rPr>
        <w:t>.</w:t>
      </w:r>
    </w:p>
    <w:p w14:paraId="5BFA8196" w14:textId="77777777" w:rsidR="00DF7175" w:rsidRDefault="00DF7175">
      <w:pPr>
        <w:pStyle w:val="Textoindependiente"/>
        <w:spacing w:before="1"/>
        <w:ind w:left="0"/>
      </w:pPr>
    </w:p>
    <w:p w14:paraId="741C9D53" w14:textId="1208B86C" w:rsidR="00DF7175" w:rsidRPr="008807C2" w:rsidRDefault="008807C2" w:rsidP="008807C2">
      <w:pPr>
        <w:pStyle w:val="Prrafodelista"/>
        <w:numPr>
          <w:ilvl w:val="0"/>
          <w:numId w:val="2"/>
        </w:numPr>
        <w:tabs>
          <w:tab w:val="left" w:pos="304"/>
          <w:tab w:val="left" w:pos="1343"/>
        </w:tabs>
        <w:spacing w:before="39"/>
        <w:ind w:left="1343" w:right="193" w:hanging="1275"/>
        <w:jc w:val="both"/>
        <w:rPr>
          <w:sz w:val="24"/>
          <w:szCs w:val="24"/>
        </w:rPr>
      </w:pPr>
      <w:r>
        <w:rPr>
          <w:sz w:val="24"/>
        </w:rPr>
        <w:t>–</w:t>
      </w:r>
      <w:r>
        <w:rPr>
          <w:sz w:val="24"/>
        </w:rPr>
        <w:tab/>
        <w:t>(</w:t>
      </w:r>
      <w:proofErr w:type="spellStart"/>
      <w:r>
        <w:rPr>
          <w:sz w:val="24"/>
        </w:rPr>
        <w:t>Exp</w:t>
      </w:r>
      <w:proofErr w:type="spellEnd"/>
      <w:r>
        <w:rPr>
          <w:sz w:val="24"/>
        </w:rPr>
        <w:t xml:space="preserve">. 241/2024 DSAJ) PRIMERO. RESOLVER las alegaciones formuladas durante el periodo de información pública de la aprobación inicial del Reglamento por el que se </w:t>
      </w:r>
      <w:r>
        <w:rPr>
          <w:sz w:val="24"/>
        </w:rPr>
        <w:lastRenderedPageBreak/>
        <w:t xml:space="preserve">regula la dotación y el uso de los dispositivos conductores de energía por parte de la Guardia Urbana de Barcelona, de conformidad con los informes técnicos de valoración de alegaciones y sugerencias y del informe de los Servicios Jurídicos Centrales de 5 de junio de 2025 que constan incorporados al expediente. SEGUNDO. APROBAR definitivamente el Reglamento por el que se regula la dotación y el uso de los dispositivos conductores de energía por parte de la Guardia Urbana de Barcelona, de acuerdo con el texto articulado definitivo que consta en el expediente. TERCERO. PUBLICAR el presente acuerdo, así como su texto íntegro, en el </w:t>
      </w:r>
      <w:r>
        <w:rPr>
          <w:i/>
          <w:iCs/>
          <w:sz w:val="24"/>
        </w:rPr>
        <w:t>Boletín Oficial de la Provincia</w:t>
      </w:r>
      <w:r>
        <w:rPr>
          <w:sz w:val="24"/>
        </w:rPr>
        <w:t xml:space="preserve">, en la </w:t>
      </w:r>
      <w:r>
        <w:rPr>
          <w:i/>
          <w:iCs/>
          <w:sz w:val="24"/>
        </w:rPr>
        <w:t>Gaceta Municipal</w:t>
      </w:r>
      <w:r>
        <w:rPr>
          <w:sz w:val="24"/>
        </w:rPr>
        <w:t xml:space="preserve">, en el web del Ayuntamiento, en el </w:t>
      </w:r>
      <w:r>
        <w:rPr>
          <w:i/>
          <w:iCs/>
          <w:sz w:val="24"/>
        </w:rPr>
        <w:t>Diario Oficial de la Generalitat</w:t>
      </w:r>
      <w:r>
        <w:rPr>
          <w:sz w:val="24"/>
        </w:rPr>
        <w:t xml:space="preserve"> y en el </w:t>
      </w:r>
      <w:r>
        <w:rPr>
          <w:i/>
          <w:iCs/>
          <w:sz w:val="24"/>
        </w:rPr>
        <w:t>Boletín Oficial del Estado</w:t>
      </w:r>
      <w:r>
        <w:rPr>
          <w:sz w:val="24"/>
        </w:rPr>
        <w:t>.</w:t>
      </w:r>
    </w:p>
    <w:p w14:paraId="08CC626E" w14:textId="77777777" w:rsidR="00DF7175" w:rsidRDefault="00DF7175">
      <w:pPr>
        <w:pStyle w:val="Textoindependiente"/>
        <w:ind w:left="0"/>
      </w:pPr>
    </w:p>
    <w:p w14:paraId="23E8D162" w14:textId="77777777" w:rsidR="00DF7175" w:rsidRDefault="008807C2">
      <w:pPr>
        <w:pStyle w:val="Prrafodelista"/>
        <w:numPr>
          <w:ilvl w:val="0"/>
          <w:numId w:val="2"/>
        </w:numPr>
        <w:tabs>
          <w:tab w:val="left" w:pos="304"/>
          <w:tab w:val="left" w:pos="1343"/>
        </w:tabs>
        <w:ind w:left="1343" w:right="191" w:hanging="1275"/>
        <w:jc w:val="both"/>
        <w:rPr>
          <w:sz w:val="24"/>
        </w:rPr>
      </w:pPr>
      <w:r>
        <w:rPr>
          <w:sz w:val="24"/>
        </w:rPr>
        <w:t>–</w:t>
      </w:r>
      <w:r>
        <w:rPr>
          <w:sz w:val="24"/>
        </w:rPr>
        <w:tab/>
        <w:t>(2025_EXP_5023194) OTORGAR la Medalla de Oro al Mérito Cívico al Sr. Jordi Borja Sebastià, en reconocimiento de su trayectoria ejemplar en el ámbito del urbanismo, el pensamiento crítico y el compromiso cívico y político con la ciudad de Barcelona.</w:t>
      </w:r>
    </w:p>
    <w:p w14:paraId="6DA27DED" w14:textId="77777777" w:rsidR="008807C2" w:rsidRPr="008807C2" w:rsidRDefault="008807C2" w:rsidP="008807C2">
      <w:pPr>
        <w:pStyle w:val="Prrafodelista"/>
        <w:rPr>
          <w:sz w:val="24"/>
        </w:rPr>
      </w:pPr>
    </w:p>
    <w:p w14:paraId="0C01E049" w14:textId="7CE68828" w:rsidR="00DF7175" w:rsidRPr="008807C2" w:rsidRDefault="008807C2" w:rsidP="008807C2">
      <w:pPr>
        <w:pStyle w:val="Prrafodelista"/>
        <w:numPr>
          <w:ilvl w:val="0"/>
          <w:numId w:val="2"/>
        </w:numPr>
        <w:tabs>
          <w:tab w:val="left" w:pos="304"/>
          <w:tab w:val="left" w:pos="1343"/>
        </w:tabs>
        <w:ind w:left="1343" w:right="191" w:hanging="1275"/>
        <w:jc w:val="both"/>
        <w:rPr>
          <w:sz w:val="24"/>
        </w:rPr>
      </w:pPr>
      <w:r>
        <w:rPr>
          <w:sz w:val="24"/>
        </w:rPr>
        <w:t>(76/2025 RH) OTORGAR las medallas de honor al mérito, en la categoría de plata (anexo) y en la categoría de bronce, en este último supuesto, en la modalidad de medalla o placa de reconocimiento (anexo 3), a los miembros y unidades de la Guardia Urbana de Barcelona que figuran en los anexos correspondientes del expediente, de acuerdo con los informes que figuran en él, con el dictamen de la Comisión de Valoración y con lo previsto en los artículos 4.2.2 y 4.2.3 del Reglamento de honores y recompensas de la Guardia Urbana de Barcelona y del Servicio de Prevención, Extinción de Incendios y Salvamento, aprobado por el Plenario del Consejo Municipal de 17 de septiembre de 1976 y modificado el 25 de mayo de 2018, con los efectos económicos previstos para la medalla en la categoría de plata.</w:t>
      </w:r>
    </w:p>
    <w:p w14:paraId="3F060040" w14:textId="77777777" w:rsidR="00DF7175" w:rsidRDefault="00DF7175">
      <w:pPr>
        <w:pStyle w:val="Textoindependiente"/>
        <w:spacing w:before="1"/>
        <w:ind w:left="0"/>
      </w:pPr>
    </w:p>
    <w:p w14:paraId="644465C6" w14:textId="77777777" w:rsidR="00DF7175" w:rsidRDefault="008807C2">
      <w:pPr>
        <w:pStyle w:val="Prrafodelista"/>
        <w:numPr>
          <w:ilvl w:val="0"/>
          <w:numId w:val="2"/>
        </w:numPr>
        <w:tabs>
          <w:tab w:val="left" w:pos="428"/>
          <w:tab w:val="left" w:pos="1343"/>
        </w:tabs>
        <w:spacing w:before="1"/>
        <w:ind w:left="1343" w:right="183" w:hanging="1275"/>
        <w:jc w:val="both"/>
        <w:rPr>
          <w:sz w:val="24"/>
        </w:rPr>
      </w:pPr>
      <w:r>
        <w:rPr>
          <w:sz w:val="24"/>
        </w:rPr>
        <w:t>–</w:t>
      </w:r>
      <w:r>
        <w:rPr>
          <w:sz w:val="24"/>
        </w:rPr>
        <w:tab/>
        <w:t>(77/2025 RH) OTORGAR las medallas al mérito en la categoría de plata, en la modalidad de medalla (anexo 4 BIS) o placa de reconocimiento (anexo 5) y a título honorífico, a las personas y entidades ajenas al cuerpo de la Guardia Urbana de Barcelona que figuran en los anexos correspondientes del expediente, de acuerdo con los informes que constan en él, con el dictamen de la Comisión de Valoración y con lo previsto en la disposición adicional del Reglamento de honores y recompensas de los miembros de la Guardia Urbana de Barcelona y del Servicio de Prevención, Extinción de Incendios y Salvamento, aprobado por acuerdo del Consejo Plenario Municipal de 17 de septiembre de 1976 y modificado el 25 de mayo de 2018, en reconocimiento del especial apoyo prestado a la GUB, que ha redundado de manera especial en la mejora de servicios y funciones que prestan.</w:t>
      </w:r>
    </w:p>
    <w:p w14:paraId="2F01448F" w14:textId="77777777" w:rsidR="00DF7175" w:rsidRDefault="00DF7175">
      <w:pPr>
        <w:pStyle w:val="Textoindependiente"/>
        <w:ind w:left="0"/>
      </w:pPr>
    </w:p>
    <w:p w14:paraId="1BCF1A6F" w14:textId="593C0786" w:rsidR="00DF7175" w:rsidRPr="008807C2" w:rsidRDefault="008807C2" w:rsidP="008807C2">
      <w:pPr>
        <w:pStyle w:val="Prrafodelista"/>
        <w:numPr>
          <w:ilvl w:val="0"/>
          <w:numId w:val="2"/>
        </w:numPr>
        <w:tabs>
          <w:tab w:val="left" w:pos="428"/>
          <w:tab w:val="left" w:pos="1343"/>
        </w:tabs>
        <w:spacing w:before="1"/>
        <w:ind w:left="1343" w:right="185" w:hanging="1275"/>
        <w:jc w:val="both"/>
        <w:rPr>
          <w:sz w:val="24"/>
          <w:szCs w:val="24"/>
        </w:rPr>
      </w:pPr>
      <w:r>
        <w:rPr>
          <w:sz w:val="24"/>
        </w:rPr>
        <w:t>–</w:t>
      </w:r>
      <w:r>
        <w:rPr>
          <w:sz w:val="24"/>
        </w:rPr>
        <w:tab/>
        <w:t>(78/2025 RH) DESESTIMAR las solicitudes de concesión de la Medalla de Honor al Sufrimiento, en la categoría de oro y/o plata, presentadas por los agentes de la Guardia Urbana de Barcelona con n.º TIP 22816, TIP. 26169, TIP. 24137 y TIP 78181 y NO OTORGAR las correspondientes medallas, dado que, de acuerdo con los informes que constan en el expediente y el dictamen de la Comisión de Valoración, no se ha apreciado la concurrencia de los requisitos necesarios para su otorgamiento establecidos en los artículos 3.2.1 y 3.2.2 del Reglamento de honores y recompensas de los miembros de la Guardia Urbana de Barcelona y del Servicio de Prevención, Extinción de Incendios y Salvamento, de 17 de septiembre de 1976 y modificado el 25 de mayo de 2018.</w:t>
      </w:r>
    </w:p>
    <w:p w14:paraId="7335DAC1" w14:textId="77777777" w:rsidR="00DF7175" w:rsidRDefault="00DF7175">
      <w:pPr>
        <w:pStyle w:val="Textoindependiente"/>
        <w:ind w:left="0"/>
      </w:pPr>
    </w:p>
    <w:p w14:paraId="0E1A6C3F" w14:textId="6ED2078D" w:rsidR="00DF7175" w:rsidRPr="008807C2" w:rsidRDefault="008807C2" w:rsidP="008807C2">
      <w:pPr>
        <w:pStyle w:val="Prrafodelista"/>
        <w:numPr>
          <w:ilvl w:val="0"/>
          <w:numId w:val="2"/>
        </w:numPr>
        <w:tabs>
          <w:tab w:val="left" w:pos="428"/>
          <w:tab w:val="left" w:pos="1343"/>
        </w:tabs>
        <w:ind w:left="1343" w:right="191" w:hanging="1275"/>
        <w:jc w:val="both"/>
        <w:rPr>
          <w:sz w:val="24"/>
          <w:szCs w:val="24"/>
        </w:rPr>
      </w:pPr>
      <w:r>
        <w:rPr>
          <w:sz w:val="24"/>
        </w:rPr>
        <w:lastRenderedPageBreak/>
        <w:t>–</w:t>
      </w:r>
      <w:r>
        <w:rPr>
          <w:sz w:val="24"/>
        </w:rPr>
        <w:tab/>
        <w:t>(25XF0392) APROBAR el expediente 25XF0392 de reconocimiento de crédito por un importe de 96,85 euros, IVA incluido, en vista de la necesidad de regularizar los gastos realizados en el 2022 y no reconocidos durante el ejercicio correspondiente, a favor de INTEGRACIÓN AGENCIAS DE VIAJES, SA, con NIF A84523505. AUTORIZAR, DISPONER Y RECONOCER la obligación del gasto por un importe de 96,85 euros, IVA incluido, con cargo al presupuesto general del ejercicio 2025 y aplicación presupuestaria 0302/22610/92011, a favor de INTEGRACIÓN AGENCIAS DE VIAJES SA, con NIF A84523505.</w:t>
      </w:r>
    </w:p>
    <w:p w14:paraId="384052FD" w14:textId="77777777" w:rsidR="00DF7175" w:rsidRDefault="00DF7175">
      <w:pPr>
        <w:pStyle w:val="Textoindependiente"/>
        <w:jc w:val="both"/>
      </w:pPr>
    </w:p>
    <w:p w14:paraId="587A68BC" w14:textId="77777777" w:rsidR="008807C2" w:rsidRDefault="008807C2">
      <w:pPr>
        <w:pStyle w:val="Textoindependiente"/>
        <w:jc w:val="both"/>
      </w:pPr>
    </w:p>
    <w:p w14:paraId="65FE0A2D" w14:textId="77777777" w:rsidR="00DF7175" w:rsidRDefault="008807C2">
      <w:pPr>
        <w:pStyle w:val="Prrafodelista"/>
        <w:numPr>
          <w:ilvl w:val="0"/>
          <w:numId w:val="2"/>
        </w:numPr>
        <w:tabs>
          <w:tab w:val="left" w:pos="428"/>
          <w:tab w:val="left" w:pos="1343"/>
        </w:tabs>
        <w:spacing w:before="32"/>
        <w:ind w:left="1343" w:right="187" w:hanging="1275"/>
        <w:jc w:val="both"/>
        <w:rPr>
          <w:sz w:val="24"/>
        </w:rPr>
      </w:pPr>
      <w:r>
        <w:rPr>
          <w:sz w:val="24"/>
        </w:rPr>
        <w:t>–</w:t>
      </w:r>
      <w:r>
        <w:rPr>
          <w:sz w:val="24"/>
        </w:rPr>
        <w:tab/>
        <w:t>(24XI0020 a 24XI0022 y 25XI0012 a 25XI0015) DOTAR de los créditos necesarios las siguientes aplicaciones del presupuesto municipal del año 2025: 0605/63220/93314, 0605/22610/33411, 0605/22103/92011 i 0605/48100/92011, según el detalle que consta en el anexo 1, que forma parte de este acuerdo a todos los efectos, para hacer frente a los gastos contraídos en ejercicios anteriores.</w:t>
      </w:r>
    </w:p>
    <w:p w14:paraId="5DD95336" w14:textId="77777777" w:rsidR="00DF7175" w:rsidRDefault="008807C2">
      <w:pPr>
        <w:pStyle w:val="Prrafodelista"/>
        <w:numPr>
          <w:ilvl w:val="0"/>
          <w:numId w:val="2"/>
        </w:numPr>
        <w:tabs>
          <w:tab w:val="left" w:pos="428"/>
          <w:tab w:val="left" w:pos="1343"/>
        </w:tabs>
        <w:spacing w:before="292"/>
        <w:ind w:left="1343" w:right="184" w:hanging="1275"/>
        <w:jc w:val="both"/>
        <w:rPr>
          <w:sz w:val="24"/>
        </w:rPr>
      </w:pPr>
      <w:r>
        <w:rPr>
          <w:sz w:val="24"/>
        </w:rPr>
        <w:t>–</w:t>
      </w:r>
      <w:r>
        <w:rPr>
          <w:sz w:val="24"/>
        </w:rPr>
        <w:tab/>
        <w:t>(25XD0012) RECTIFICAR, en virtud de lo dispuesto en el artículo 109 de la Ley 39/2015, de 1 de octubre, del procedimiento administrativo común de las administraciones públicas, el error material contenido en el acuerdo aprobado por el Plenario del Consejo Municipal de fecha de 30 de mayo de 2025, relativo a la posición presupuestaria de una de las aplicaciones de dotaciones de crédito del presupuesto municipal del año 2025 aprobadas en el sentido de que, donde decía: 0302/22105/31222, debe decir: 0302/22105/91222.</w:t>
      </w:r>
    </w:p>
    <w:p w14:paraId="755A29E9" w14:textId="77777777" w:rsidR="00DF7175" w:rsidRDefault="00DF7175">
      <w:pPr>
        <w:pStyle w:val="Textoindependiente"/>
        <w:spacing w:before="2"/>
        <w:ind w:left="0"/>
      </w:pPr>
    </w:p>
    <w:p w14:paraId="1F06D40C" w14:textId="77777777" w:rsidR="00DF7175" w:rsidRDefault="008807C2">
      <w:pPr>
        <w:pStyle w:val="Prrafodelista"/>
        <w:numPr>
          <w:ilvl w:val="0"/>
          <w:numId w:val="2"/>
        </w:numPr>
        <w:tabs>
          <w:tab w:val="left" w:pos="428"/>
          <w:tab w:val="left" w:pos="1343"/>
        </w:tabs>
        <w:ind w:left="1343" w:right="185" w:hanging="1275"/>
        <w:jc w:val="both"/>
        <w:rPr>
          <w:sz w:val="24"/>
        </w:rPr>
      </w:pPr>
      <w:r>
        <w:rPr>
          <w:sz w:val="24"/>
        </w:rPr>
        <w:t>–</w:t>
      </w:r>
      <w:r>
        <w:rPr>
          <w:sz w:val="24"/>
        </w:rPr>
        <w:tab/>
        <w:t xml:space="preserve">(122/2025) MODIFICAR el anexo 2 (dotaciones de puestos de trabajo) y el anexo 4 (tablas retributivas) de la relación de puestos de trabajo aprobada por el Consejo Plenario, con fecha 23 de diciembre de 2022, tal como se detalla en los anexos, que constan en el expediente. PUBLICAR este acuerdo y sus anexos en la </w:t>
      </w:r>
      <w:r>
        <w:rPr>
          <w:i/>
          <w:iCs/>
          <w:sz w:val="24"/>
        </w:rPr>
        <w:t xml:space="preserve">Gaceta Municipal </w:t>
      </w:r>
      <w:r>
        <w:rPr>
          <w:sz w:val="24"/>
        </w:rPr>
        <w:t>y en la web municipal.</w:t>
      </w:r>
    </w:p>
    <w:p w14:paraId="64018256" w14:textId="77777777" w:rsidR="00DF7175" w:rsidRDefault="008807C2">
      <w:pPr>
        <w:pStyle w:val="Ttulo1"/>
        <w:spacing w:before="292"/>
      </w:pPr>
      <w:r>
        <w:t>COMISIÓN DE ECOLOGÍA, URBANISMO, MOVILIDAD Y VIVIENDA</w:t>
      </w:r>
    </w:p>
    <w:p w14:paraId="28F1FD01" w14:textId="77777777" w:rsidR="00DF7175" w:rsidRDefault="00DF7175">
      <w:pPr>
        <w:pStyle w:val="Textoindependiente"/>
        <w:ind w:left="0"/>
        <w:rPr>
          <w:b/>
        </w:rPr>
      </w:pPr>
    </w:p>
    <w:p w14:paraId="6683C815" w14:textId="77777777" w:rsidR="00DF7175" w:rsidRDefault="008807C2">
      <w:pPr>
        <w:pStyle w:val="Prrafodelista"/>
        <w:numPr>
          <w:ilvl w:val="0"/>
          <w:numId w:val="2"/>
        </w:numPr>
        <w:tabs>
          <w:tab w:val="left" w:pos="428"/>
          <w:tab w:val="left" w:pos="1343"/>
        </w:tabs>
        <w:ind w:left="1343" w:right="183" w:hanging="1275"/>
        <w:jc w:val="both"/>
        <w:rPr>
          <w:sz w:val="24"/>
        </w:rPr>
      </w:pPr>
      <w:r>
        <w:rPr>
          <w:sz w:val="24"/>
        </w:rPr>
        <w:t>–</w:t>
      </w:r>
      <w:r>
        <w:rPr>
          <w:sz w:val="24"/>
        </w:rPr>
        <w:tab/>
        <w:t xml:space="preserve">(24SD0065NT) RESOLVER las alegaciones formuladas durante el periodo de información pública de la aprobación inicial de la ordenanza reguladora de los sistemas de aprovechamiento de aguas grises, de conformidad con el informe técnico-jurídico de respuesta de alegaciones que consta en el expediente y que se incorpora a este acuerdo a efectos de motivación. APROBARLA definitivamente de acuerdo con el texto articulado que consta en el expediente. PUBLICAR el presente acuerdo, así como su texto íntegro, en el </w:t>
      </w:r>
      <w:r>
        <w:rPr>
          <w:i/>
          <w:iCs/>
          <w:sz w:val="24"/>
        </w:rPr>
        <w:t>Boletín Oficial de la Provincia</w:t>
      </w:r>
      <w:r>
        <w:rPr>
          <w:sz w:val="24"/>
        </w:rPr>
        <w:t xml:space="preserve">, en la </w:t>
      </w:r>
      <w:r>
        <w:rPr>
          <w:i/>
          <w:iCs/>
          <w:sz w:val="24"/>
        </w:rPr>
        <w:t>Gaceta Municipal</w:t>
      </w:r>
      <w:r>
        <w:rPr>
          <w:sz w:val="24"/>
        </w:rPr>
        <w:t xml:space="preserve"> y en el web del Ayuntamiento. NOTIFICAR este acuerdo a los interesados a los efectos oportunos.</w:t>
      </w:r>
    </w:p>
    <w:p w14:paraId="689FBAB9" w14:textId="77777777" w:rsidR="00DF7175" w:rsidRDefault="00DF7175">
      <w:pPr>
        <w:pStyle w:val="Textoindependiente"/>
        <w:spacing w:before="1"/>
        <w:ind w:left="0"/>
      </w:pPr>
    </w:p>
    <w:p w14:paraId="52CB3707" w14:textId="77777777" w:rsidR="00DF7175" w:rsidRDefault="008807C2">
      <w:pPr>
        <w:pStyle w:val="Textoindependiente"/>
      </w:pPr>
      <w:r>
        <w:t>Distrito de Sarrià-Sant Gervasi</w:t>
      </w:r>
    </w:p>
    <w:p w14:paraId="590AEFFE" w14:textId="77777777" w:rsidR="00DF7175" w:rsidRDefault="00DF7175">
      <w:pPr>
        <w:pStyle w:val="Textoindependiente"/>
        <w:ind w:left="0"/>
      </w:pPr>
    </w:p>
    <w:p w14:paraId="13A5C50F" w14:textId="77777777" w:rsidR="00DF7175" w:rsidRDefault="008807C2">
      <w:pPr>
        <w:pStyle w:val="Prrafodelista"/>
        <w:numPr>
          <w:ilvl w:val="0"/>
          <w:numId w:val="2"/>
        </w:numPr>
        <w:tabs>
          <w:tab w:val="left" w:pos="428"/>
          <w:tab w:val="left" w:pos="1343"/>
        </w:tabs>
        <w:ind w:left="1343" w:right="182" w:hanging="1275"/>
        <w:jc w:val="both"/>
        <w:rPr>
          <w:sz w:val="24"/>
        </w:rPr>
      </w:pPr>
      <w:r>
        <w:rPr>
          <w:sz w:val="24"/>
        </w:rPr>
        <w:t>–</w:t>
      </w:r>
      <w:r>
        <w:rPr>
          <w:sz w:val="24"/>
        </w:rPr>
        <w:tab/>
        <w:t xml:space="preserve">(24PL17078) APROBAR definitivamente, de conformidad con el artículo 68.1.c) de la Carta municipal de Barcelona, el Plan especial urbanístico para la concreción del uso del equipamiento y ordenación volumétrica de la finca situada en la calle de Josep </w:t>
      </w:r>
      <w:proofErr w:type="spellStart"/>
      <w:r>
        <w:rPr>
          <w:sz w:val="24"/>
        </w:rPr>
        <w:t>Balarí</w:t>
      </w:r>
      <w:proofErr w:type="spellEnd"/>
      <w:r>
        <w:rPr>
          <w:sz w:val="24"/>
        </w:rPr>
        <w:t xml:space="preserve">, 2-4, de iniciativa privada, promovido por el Arzobispado de Barcelona y el Instituto Catalán de la Retina, con las modificaciones respecto del documento </w:t>
      </w:r>
      <w:r>
        <w:rPr>
          <w:sz w:val="24"/>
        </w:rPr>
        <w:lastRenderedPageBreak/>
        <w:t>aprobado inicialmente a que hace referencia el informe conjunto de la Dirección de Servicios de Planeamiento y la Dirección de Servicios de Actuación Urbanística, que consta en el expediente y a efectos de motivación se incorpora a este acuerdo.</w:t>
      </w:r>
    </w:p>
    <w:p w14:paraId="5985857F" w14:textId="77777777" w:rsidR="00DF7175" w:rsidRDefault="00DF7175">
      <w:pPr>
        <w:pStyle w:val="Textoindependiente"/>
        <w:spacing w:before="1"/>
        <w:ind w:left="0"/>
      </w:pPr>
    </w:p>
    <w:p w14:paraId="725F4A0D" w14:textId="77777777" w:rsidR="00DF7175" w:rsidRDefault="008807C2">
      <w:pPr>
        <w:pStyle w:val="Textoindependiente"/>
      </w:pPr>
      <w:r>
        <w:t>Distrito de Gràcia</w:t>
      </w:r>
    </w:p>
    <w:p w14:paraId="4CA8CAA9" w14:textId="77777777" w:rsidR="00DF7175" w:rsidRDefault="00DF7175">
      <w:pPr>
        <w:pStyle w:val="Textoindependiente"/>
        <w:ind w:left="0"/>
      </w:pPr>
    </w:p>
    <w:p w14:paraId="6FDF743B" w14:textId="4E98310E" w:rsidR="00DF7175" w:rsidRPr="008807C2" w:rsidRDefault="008807C2" w:rsidP="008807C2">
      <w:pPr>
        <w:pStyle w:val="Prrafodelista"/>
        <w:numPr>
          <w:ilvl w:val="0"/>
          <w:numId w:val="2"/>
        </w:numPr>
        <w:tabs>
          <w:tab w:val="left" w:pos="428"/>
          <w:tab w:val="left" w:pos="1343"/>
        </w:tabs>
        <w:spacing w:before="39"/>
        <w:ind w:left="1343" w:right="189" w:hanging="1275"/>
        <w:jc w:val="both"/>
        <w:rPr>
          <w:sz w:val="24"/>
          <w:szCs w:val="24"/>
        </w:rPr>
      </w:pPr>
      <w:r>
        <w:rPr>
          <w:sz w:val="24"/>
        </w:rPr>
        <w:t>–</w:t>
      </w:r>
      <w:r>
        <w:rPr>
          <w:sz w:val="24"/>
        </w:rPr>
        <w:tab/>
        <w:t xml:space="preserve">(24PL17078) APROBAR definitivamente, de conformidad con el artículo 68.1.c) de la Carta municipal de Barcelona, el Plan especial integral y de mejora urbana para la regulación del equipamiento de los </w:t>
      </w:r>
      <w:proofErr w:type="spellStart"/>
      <w:r>
        <w:rPr>
          <w:sz w:val="24"/>
        </w:rPr>
        <w:t>Lluïsos</w:t>
      </w:r>
      <w:proofErr w:type="spellEnd"/>
      <w:r>
        <w:rPr>
          <w:sz w:val="24"/>
        </w:rPr>
        <w:t xml:space="preserve"> de Gràcia, situado en la plaza del Nord, 7-10, con las modificaciones respecto del documento aprobado inicialmente que se indican en el informe conjunto de la Dirección de Servicios de Planeamiento y de la Dirección de Servicios de Actuación Urbanística que consta en el expediente y que, a efectos de motivación, se incorpora a este acuerdo.</w:t>
      </w:r>
    </w:p>
    <w:p w14:paraId="6A7AF50A" w14:textId="77777777" w:rsidR="00DF7175" w:rsidRDefault="00DF7175">
      <w:pPr>
        <w:pStyle w:val="Textoindependiente"/>
        <w:ind w:left="0"/>
      </w:pPr>
    </w:p>
    <w:p w14:paraId="0A177959" w14:textId="77777777" w:rsidR="00DF7175" w:rsidRDefault="008807C2">
      <w:pPr>
        <w:pStyle w:val="Textoindependiente"/>
      </w:pPr>
      <w:r>
        <w:t>d) Proposiciones</w:t>
      </w:r>
    </w:p>
    <w:p w14:paraId="4196F059" w14:textId="77777777" w:rsidR="00DF7175" w:rsidRDefault="00DF7175">
      <w:pPr>
        <w:pStyle w:val="Textoindependiente"/>
        <w:ind w:left="0"/>
      </w:pPr>
    </w:p>
    <w:p w14:paraId="568F55D4" w14:textId="77777777" w:rsidR="00DF7175" w:rsidRDefault="008807C2">
      <w:pPr>
        <w:pStyle w:val="Prrafodelista"/>
        <w:numPr>
          <w:ilvl w:val="0"/>
          <w:numId w:val="3"/>
        </w:numPr>
        <w:tabs>
          <w:tab w:val="left" w:pos="1617"/>
        </w:tabs>
        <w:ind w:left="1617" w:hanging="274"/>
        <w:rPr>
          <w:sz w:val="24"/>
        </w:rPr>
      </w:pPr>
      <w:r>
        <w:rPr>
          <w:sz w:val="24"/>
          <w:u w:val="single"/>
        </w:rPr>
        <w:t>Parte de impulso y control</w:t>
      </w:r>
    </w:p>
    <w:p w14:paraId="53DC9B81" w14:textId="77777777" w:rsidR="00DF7175" w:rsidRDefault="008807C2">
      <w:pPr>
        <w:pStyle w:val="Prrafodelista"/>
        <w:numPr>
          <w:ilvl w:val="1"/>
          <w:numId w:val="3"/>
        </w:numPr>
        <w:tabs>
          <w:tab w:val="left" w:pos="1583"/>
        </w:tabs>
        <w:spacing w:before="292"/>
        <w:ind w:left="1583" w:hanging="240"/>
        <w:rPr>
          <w:sz w:val="24"/>
        </w:rPr>
      </w:pPr>
      <w:r>
        <w:rPr>
          <w:sz w:val="24"/>
        </w:rPr>
        <w:t>Proposiciones-declaraciones de grupo</w:t>
      </w:r>
    </w:p>
    <w:p w14:paraId="51467682" w14:textId="77777777" w:rsidR="00DF7175" w:rsidRDefault="008807C2">
      <w:pPr>
        <w:pStyle w:val="Prrafodelista"/>
        <w:numPr>
          <w:ilvl w:val="1"/>
          <w:numId w:val="3"/>
        </w:numPr>
        <w:tabs>
          <w:tab w:val="left" w:pos="1595"/>
        </w:tabs>
        <w:ind w:left="1595" w:hanging="252"/>
        <w:rPr>
          <w:sz w:val="24"/>
        </w:rPr>
      </w:pPr>
      <w:r>
        <w:rPr>
          <w:sz w:val="24"/>
        </w:rPr>
        <w:t>Proposiciones con contenido de declaración institucional</w:t>
      </w:r>
    </w:p>
    <w:p w14:paraId="173D407B" w14:textId="77777777" w:rsidR="00DF7175" w:rsidRDefault="008807C2">
      <w:pPr>
        <w:pStyle w:val="Prrafodelista"/>
        <w:numPr>
          <w:ilvl w:val="1"/>
          <w:numId w:val="3"/>
        </w:numPr>
        <w:tabs>
          <w:tab w:val="left" w:pos="1569"/>
        </w:tabs>
        <w:ind w:left="1569" w:hanging="226"/>
        <w:rPr>
          <w:sz w:val="24"/>
        </w:rPr>
      </w:pPr>
      <w:r>
        <w:rPr>
          <w:sz w:val="24"/>
        </w:rPr>
        <w:t>Ruegos</w:t>
      </w:r>
    </w:p>
    <w:p w14:paraId="23DF6DB3" w14:textId="77777777" w:rsidR="00DF7175" w:rsidRDefault="008807C2">
      <w:pPr>
        <w:pStyle w:val="Prrafodelista"/>
        <w:numPr>
          <w:ilvl w:val="1"/>
          <w:numId w:val="3"/>
        </w:numPr>
        <w:tabs>
          <w:tab w:val="left" w:pos="1595"/>
        </w:tabs>
        <w:spacing w:before="2"/>
        <w:ind w:left="1595" w:hanging="252"/>
        <w:rPr>
          <w:sz w:val="24"/>
        </w:rPr>
      </w:pPr>
      <w:r>
        <w:rPr>
          <w:sz w:val="24"/>
        </w:rPr>
        <w:t>Preguntas</w:t>
      </w:r>
    </w:p>
    <w:p w14:paraId="4D803CA6" w14:textId="77777777" w:rsidR="00DF7175" w:rsidRDefault="008807C2">
      <w:pPr>
        <w:pStyle w:val="Prrafodelista"/>
        <w:numPr>
          <w:ilvl w:val="1"/>
          <w:numId w:val="3"/>
        </w:numPr>
        <w:tabs>
          <w:tab w:val="left" w:pos="1588"/>
        </w:tabs>
        <w:ind w:left="1588" w:hanging="245"/>
        <w:rPr>
          <w:sz w:val="24"/>
        </w:rPr>
      </w:pPr>
      <w:r>
        <w:rPr>
          <w:i/>
          <w:iCs/>
          <w:sz w:val="24"/>
        </w:rPr>
        <w:t>Seguimiento de proposiciones-declaraciones de grupo</w:t>
      </w:r>
    </w:p>
    <w:p w14:paraId="4BA3973A" w14:textId="77777777" w:rsidR="00DF7175" w:rsidRDefault="00DF7175">
      <w:pPr>
        <w:pStyle w:val="Textoindependiente"/>
        <w:ind w:left="0"/>
      </w:pPr>
    </w:p>
    <w:p w14:paraId="5DED6DA0" w14:textId="77777777" w:rsidR="00DF7175" w:rsidRDefault="008807C2">
      <w:pPr>
        <w:pStyle w:val="Prrafodelista"/>
        <w:numPr>
          <w:ilvl w:val="0"/>
          <w:numId w:val="3"/>
        </w:numPr>
        <w:tabs>
          <w:tab w:val="left" w:pos="1586"/>
        </w:tabs>
        <w:ind w:left="1586" w:hanging="243"/>
        <w:rPr>
          <w:sz w:val="24"/>
        </w:rPr>
      </w:pPr>
      <w:r>
        <w:rPr>
          <w:sz w:val="24"/>
          <w:u w:val="single"/>
        </w:rPr>
        <w:t>Mociones</w:t>
      </w:r>
    </w:p>
    <w:p w14:paraId="78937FFE" w14:textId="77777777" w:rsidR="00DF7175" w:rsidRDefault="00DF7175">
      <w:pPr>
        <w:pStyle w:val="Textoindependiente"/>
        <w:ind w:left="0"/>
      </w:pPr>
    </w:p>
    <w:p w14:paraId="4DA2308E" w14:textId="77777777" w:rsidR="00DF7175" w:rsidRDefault="008807C2">
      <w:pPr>
        <w:pStyle w:val="Prrafodelista"/>
        <w:numPr>
          <w:ilvl w:val="0"/>
          <w:numId w:val="3"/>
        </w:numPr>
        <w:tabs>
          <w:tab w:val="left" w:pos="1579"/>
        </w:tabs>
        <w:ind w:left="1579" w:hanging="236"/>
        <w:rPr>
          <w:sz w:val="24"/>
        </w:rPr>
      </w:pPr>
      <w:r>
        <w:rPr>
          <w:sz w:val="24"/>
          <w:u w:val="single"/>
        </w:rPr>
        <w:t>Declaraciones institucionales</w:t>
      </w:r>
    </w:p>
    <w:sectPr w:rsidR="00DF7175">
      <w:footerReference w:type="default" r:id="rId8"/>
      <w:pgSz w:w="11910" w:h="16840"/>
      <w:pgMar w:top="1360" w:right="850" w:bottom="1100" w:left="992"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120A" w14:textId="77777777" w:rsidR="008807C2" w:rsidRDefault="008807C2">
      <w:r>
        <w:separator/>
      </w:r>
    </w:p>
  </w:endnote>
  <w:endnote w:type="continuationSeparator" w:id="0">
    <w:p w14:paraId="78A4A6A2" w14:textId="77777777" w:rsidR="008807C2" w:rsidRDefault="0088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D6F5" w14:textId="77777777" w:rsidR="00DF7175" w:rsidRDefault="008807C2">
    <w:pPr>
      <w:pStyle w:val="Textoindependiente"/>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39B39799" wp14:editId="39CB9862">
              <wp:simplePos x="0" y="0"/>
              <wp:positionH relativeFrom="page">
                <wp:posOffset>6549390</wp:posOffset>
              </wp:positionH>
              <wp:positionV relativeFrom="page">
                <wp:posOffset>9969679</wp:posOffset>
              </wp:positionV>
              <wp:extent cx="328295" cy="260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260350"/>
                      </a:xfrm>
                      <a:prstGeom prst="rect">
                        <a:avLst/>
                      </a:prstGeom>
                    </wps:spPr>
                    <wps:txbx>
                      <w:txbxContent>
                        <w:p w14:paraId="52A1AC3C" w14:textId="77777777" w:rsidR="00DF7175" w:rsidRDefault="008807C2">
                          <w:pPr>
                            <w:spacing w:before="20"/>
                            <w:ind w:left="312"/>
                            <w:rPr>
                              <w:rFonts w:ascii="Arial Narrow"/>
                              <w:b/>
                              <w:sz w:val="16"/>
                            </w:rPr>
                          </w:pPr>
                          <w:r>
                            <w:rPr>
                              <w:rFonts w:ascii="Arial Narrow"/>
                              <w:b/>
                              <w:sz w:val="16"/>
                            </w:rPr>
                            <w:fldChar w:fldCharType="begin"/>
                          </w:r>
                          <w:r>
                            <w:rPr>
                              <w:rFonts w:ascii="Arial Narrow"/>
                              <w:b/>
                              <w:sz w:val="16"/>
                            </w:rPr>
                            <w:instrText xml:space="preserve"> PAGE </w:instrText>
                          </w:r>
                          <w:r>
                            <w:rPr>
                              <w:rFonts w:ascii="Arial Narrow"/>
                              <w:b/>
                              <w:sz w:val="16"/>
                            </w:rPr>
                            <w:fldChar w:fldCharType="separate"/>
                          </w:r>
                          <w:r>
                            <w:rPr>
                              <w:rFonts w:ascii="Arial Narrow"/>
                              <w:b/>
                              <w:sz w:val="16"/>
                            </w:rPr>
                            <w:t>1</w:t>
                          </w:r>
                          <w:r>
                            <w:rPr>
                              <w:rFonts w:ascii="Arial Narrow"/>
                              <w:b/>
                              <w:sz w:val="16"/>
                            </w:rPr>
                            <w:fldChar w:fldCharType="end"/>
                          </w:r>
                          <w:r>
                            <w:rPr>
                              <w:rFonts w:ascii="Arial Narrow"/>
                              <w:sz w:val="16"/>
                            </w:rPr>
                            <w:t>/</w:t>
                          </w:r>
                          <w:r>
                            <w:rPr>
                              <w:rFonts w:ascii="Arial Narrow"/>
                              <w:b/>
                              <w:sz w:val="16"/>
                            </w:rPr>
                            <w:fldChar w:fldCharType="begin"/>
                          </w:r>
                          <w:r>
                            <w:rPr>
                              <w:rFonts w:ascii="Arial Narrow"/>
                              <w:b/>
                              <w:sz w:val="16"/>
                            </w:rPr>
                            <w:instrText xml:space="preserve"> NUMPAGES </w:instrText>
                          </w:r>
                          <w:r>
                            <w:rPr>
                              <w:rFonts w:ascii="Arial Narrow"/>
                              <w:b/>
                              <w:sz w:val="16"/>
                            </w:rPr>
                            <w:fldChar w:fldCharType="separate"/>
                          </w:r>
                          <w:r>
                            <w:rPr>
                              <w:rFonts w:ascii="Arial Narrow"/>
                              <w:b/>
                              <w:sz w:val="16"/>
                            </w:rPr>
                            <w:t>5</w:t>
                          </w:r>
                          <w:r>
                            <w:rPr>
                              <w:rFonts w:ascii="Arial Narrow"/>
                              <w:b/>
                              <w:sz w:val="16"/>
                            </w:rPr>
                            <w:fldChar w:fldCharType="end"/>
                          </w:r>
                        </w:p>
                        <w:p w14:paraId="1F596253" w14:textId="77777777" w:rsidR="00DF7175" w:rsidRDefault="008807C2">
                          <w:pPr>
                            <w:spacing w:before="1"/>
                            <w:ind w:left="20"/>
                            <w:rPr>
                              <w:rFonts w:ascii="Arial Narrow"/>
                              <w:sz w:val="16"/>
                            </w:rPr>
                          </w:pPr>
                          <w:r>
                            <w:rPr>
                              <w:rFonts w:ascii="Arial Narrow"/>
                              <w:sz w:val="16"/>
                            </w:rPr>
                            <w:t>CP 6/25</w:t>
                          </w:r>
                        </w:p>
                      </w:txbxContent>
                    </wps:txbx>
                    <wps:bodyPr wrap="square" lIns="0" tIns="0" rIns="0" bIns="0" rtlCol="0">
                      <a:noAutofit/>
                    </wps:bodyPr>
                  </wps:wsp>
                </a:graphicData>
              </a:graphic>
            </wp:anchor>
          </w:drawing>
        </mc:Choice>
        <mc:Fallback>
          <w:pict>
            <v:shapetype w14:anchorId="39B39799" id="_x0000_t202" coordsize="21600,21600" o:spt="202" path="m,l,21600r21600,l21600,xe">
              <v:stroke joinstyle="miter"/>
              <v:path gradientshapeok="t" o:connecttype="rect"/>
            </v:shapetype>
            <v:shape id="Textbox 1" o:spid="_x0000_s1026" type="#_x0000_t202" style="position:absolute;margin-left:515.7pt;margin-top:785pt;width:25.85pt;height: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" filled="f" stroked="f">
              <v:textbox inset="0,0,0,0">
                <w:txbxContent>
                  <w:p w14:paraId="52A1AC3C" w14:textId="77777777" w:rsidR="00DF7175" w:rsidRDefault="008807C2">
                    <w:pPr>
                      <w:spacing w:before="20"/>
                      <w:ind w:left="312"/>
                      <w:rPr>
                        <w:rFonts w:ascii="Arial Narrow"/>
                        <w:b/>
                        <w:sz w:val="16"/>
                      </w:rPr>
                    </w:pPr>
                    <w:r>
                      <w:rPr>
                        <w:rFonts w:ascii="Arial Narrow"/>
                        <w:b/>
                        <w:sz w:val="16"/>
                      </w:rPr>
                      <w:fldChar w:fldCharType="begin"/>
                    </w:r>
                    <w:r>
                      <w:rPr>
                        <w:rFonts w:ascii="Arial Narrow"/>
                        <w:b/>
                        <w:sz w:val="16"/>
                      </w:rPr>
                      <w:instrText xml:space="preserve"> PAGE </w:instrText>
                    </w:r>
                    <w:r>
                      <w:rPr>
                        <w:rFonts w:ascii="Arial Narrow"/>
                        <w:b/>
                        <w:sz w:val="16"/>
                      </w:rPr>
                      <w:fldChar w:fldCharType="separate"/>
                    </w:r>
                    <w:r>
                      <w:rPr>
                        <w:rFonts w:ascii="Arial Narrow"/>
                        <w:b/>
                        <w:sz w:val="16"/>
                      </w:rPr>
                      <w:t>1</w:t>
                    </w:r>
                    <w:r>
                      <w:rPr>
                        <w:rFonts w:ascii="Arial Narrow"/>
                        <w:b/>
                        <w:sz w:val="16"/>
                      </w:rPr>
                      <w:fldChar w:fldCharType="end"/>
                    </w:r>
                    <w:r>
                      <w:rPr>
                        <w:rFonts w:ascii="Arial Narrow"/>
                        <w:sz w:val="16"/>
                      </w:rPr>
                      <w:t>/</w:t>
                    </w:r>
                    <w:r>
                      <w:rPr>
                        <w:rFonts w:ascii="Arial Narrow"/>
                        <w:b/>
                        <w:sz w:val="16"/>
                      </w:rPr>
                      <w:fldChar w:fldCharType="begin"/>
                    </w:r>
                    <w:r>
                      <w:rPr>
                        <w:rFonts w:ascii="Arial Narrow"/>
                        <w:b/>
                        <w:sz w:val="16"/>
                      </w:rPr>
                      <w:instrText xml:space="preserve"> NUMPAGES </w:instrText>
                    </w:r>
                    <w:r>
                      <w:rPr>
                        <w:rFonts w:ascii="Arial Narrow"/>
                        <w:b/>
                        <w:sz w:val="16"/>
                      </w:rPr>
                      <w:fldChar w:fldCharType="separate"/>
                    </w:r>
                    <w:r>
                      <w:rPr>
                        <w:rFonts w:ascii="Arial Narrow"/>
                        <w:b/>
                        <w:sz w:val="16"/>
                      </w:rPr>
                      <w:t>5</w:t>
                    </w:r>
                    <w:r>
                      <w:rPr>
                        <w:rFonts w:ascii="Arial Narrow"/>
                        <w:b/>
                        <w:sz w:val="16"/>
                      </w:rPr>
                      <w:fldChar w:fldCharType="end"/>
                    </w:r>
                  </w:p>
                  <w:p w14:paraId="1F596253" w14:textId="77777777" w:rsidR="00DF7175" w:rsidRDefault="008807C2">
                    <w:pPr>
                      <w:spacing w:before="1"/>
                      <w:ind w:left="20"/>
                      <w:rPr>
                        <w:rFonts w:ascii="Arial Narrow"/>
                        <w:sz w:val="16"/>
                      </w:rPr>
                    </w:pPr>
                    <w:r>
                      <w:rPr>
                        <w:rFonts w:ascii="Arial Narrow"/>
                        <w:sz w:val="16"/>
                      </w:rPr>
                      <w:t>CP 6/25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9BE8" w14:textId="77777777" w:rsidR="008807C2" w:rsidRDefault="008807C2">
      <w:r>
        <w:separator/>
      </w:r>
    </w:p>
  </w:footnote>
  <w:footnote w:type="continuationSeparator" w:id="0">
    <w:p w14:paraId="40B5E923" w14:textId="77777777" w:rsidR="008807C2" w:rsidRDefault="00880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11B"/>
    <w:multiLevelType w:val="hybridMultilevel"/>
    <w:tmpl w:val="39049F8C"/>
    <w:lvl w:ilvl="0" w:tplc="612678BC">
      <w:start w:val="1"/>
      <w:numFmt w:val="decimal"/>
      <w:lvlText w:val="%1)"/>
      <w:lvlJc w:val="left"/>
      <w:pPr>
        <w:ind w:left="1585" w:hanging="243"/>
        <w:jc w:val="left"/>
      </w:pPr>
      <w:rPr>
        <w:rFonts w:ascii="Calibri" w:eastAsia="Calibri" w:hAnsi="Calibri" w:cs="Calibri" w:hint="default"/>
        <w:b w:val="0"/>
        <w:bCs w:val="0"/>
        <w:i w:val="0"/>
        <w:iCs w:val="0"/>
        <w:spacing w:val="-1"/>
        <w:w w:val="100"/>
        <w:sz w:val="24"/>
        <w:szCs w:val="24"/>
        <w:lang w:val="ca-ES" w:eastAsia="en-US" w:bidi="ar-SA"/>
      </w:rPr>
    </w:lvl>
    <w:lvl w:ilvl="1" w:tplc="4E22E1C6">
      <w:numFmt w:val="bullet"/>
      <w:lvlText w:val="•"/>
      <w:lvlJc w:val="left"/>
      <w:pPr>
        <w:ind w:left="2428" w:hanging="243"/>
      </w:pPr>
      <w:rPr>
        <w:rFonts w:hint="default"/>
        <w:lang w:val="ca-ES" w:eastAsia="en-US" w:bidi="ar-SA"/>
      </w:rPr>
    </w:lvl>
    <w:lvl w:ilvl="2" w:tplc="1CE49BD6">
      <w:numFmt w:val="bullet"/>
      <w:lvlText w:val="•"/>
      <w:lvlJc w:val="left"/>
      <w:pPr>
        <w:ind w:left="3276" w:hanging="243"/>
      </w:pPr>
      <w:rPr>
        <w:rFonts w:hint="default"/>
        <w:lang w:val="ca-ES" w:eastAsia="en-US" w:bidi="ar-SA"/>
      </w:rPr>
    </w:lvl>
    <w:lvl w:ilvl="3" w:tplc="D96CA6F6">
      <w:numFmt w:val="bullet"/>
      <w:lvlText w:val="•"/>
      <w:lvlJc w:val="left"/>
      <w:pPr>
        <w:ind w:left="4125" w:hanging="243"/>
      </w:pPr>
      <w:rPr>
        <w:rFonts w:hint="default"/>
        <w:lang w:val="ca-ES" w:eastAsia="en-US" w:bidi="ar-SA"/>
      </w:rPr>
    </w:lvl>
    <w:lvl w:ilvl="4" w:tplc="C9F67A2C">
      <w:numFmt w:val="bullet"/>
      <w:lvlText w:val="•"/>
      <w:lvlJc w:val="left"/>
      <w:pPr>
        <w:ind w:left="4973" w:hanging="243"/>
      </w:pPr>
      <w:rPr>
        <w:rFonts w:hint="default"/>
        <w:lang w:val="ca-ES" w:eastAsia="en-US" w:bidi="ar-SA"/>
      </w:rPr>
    </w:lvl>
    <w:lvl w:ilvl="5" w:tplc="6B146158">
      <w:numFmt w:val="bullet"/>
      <w:lvlText w:val="•"/>
      <w:lvlJc w:val="left"/>
      <w:pPr>
        <w:ind w:left="5822" w:hanging="243"/>
      </w:pPr>
      <w:rPr>
        <w:rFonts w:hint="default"/>
        <w:lang w:val="ca-ES" w:eastAsia="en-US" w:bidi="ar-SA"/>
      </w:rPr>
    </w:lvl>
    <w:lvl w:ilvl="6" w:tplc="CD6C557E">
      <w:numFmt w:val="bullet"/>
      <w:lvlText w:val="•"/>
      <w:lvlJc w:val="left"/>
      <w:pPr>
        <w:ind w:left="6670" w:hanging="243"/>
      </w:pPr>
      <w:rPr>
        <w:rFonts w:hint="default"/>
        <w:lang w:val="ca-ES" w:eastAsia="en-US" w:bidi="ar-SA"/>
      </w:rPr>
    </w:lvl>
    <w:lvl w:ilvl="7" w:tplc="23F84820">
      <w:numFmt w:val="bullet"/>
      <w:lvlText w:val="•"/>
      <w:lvlJc w:val="left"/>
      <w:pPr>
        <w:ind w:left="7519" w:hanging="243"/>
      </w:pPr>
      <w:rPr>
        <w:rFonts w:hint="default"/>
        <w:lang w:val="ca-ES" w:eastAsia="en-US" w:bidi="ar-SA"/>
      </w:rPr>
    </w:lvl>
    <w:lvl w:ilvl="8" w:tplc="707480DE">
      <w:numFmt w:val="bullet"/>
      <w:lvlText w:val="•"/>
      <w:lvlJc w:val="left"/>
      <w:pPr>
        <w:ind w:left="8367" w:hanging="243"/>
      </w:pPr>
      <w:rPr>
        <w:rFonts w:hint="default"/>
        <w:lang w:val="ca-ES" w:eastAsia="en-US" w:bidi="ar-SA"/>
      </w:rPr>
    </w:lvl>
  </w:abstractNum>
  <w:abstractNum w:abstractNumId="1" w15:restartNumberingAfterBreak="0">
    <w:nsid w:val="38EA1A80"/>
    <w:multiLevelType w:val="hybridMultilevel"/>
    <w:tmpl w:val="CD24675A"/>
    <w:lvl w:ilvl="0" w:tplc="7C309D38">
      <w:start w:val="1"/>
      <w:numFmt w:val="upperLetter"/>
      <w:lvlText w:val="%1)"/>
      <w:lvlJc w:val="left"/>
      <w:pPr>
        <w:ind w:left="1610" w:hanging="267"/>
        <w:jc w:val="left"/>
      </w:pPr>
      <w:rPr>
        <w:rFonts w:ascii="Calibri" w:eastAsia="Calibri" w:hAnsi="Calibri" w:cs="Calibri" w:hint="default"/>
        <w:b w:val="0"/>
        <w:bCs w:val="0"/>
        <w:i w:val="0"/>
        <w:iCs w:val="0"/>
        <w:spacing w:val="-1"/>
        <w:w w:val="100"/>
        <w:sz w:val="24"/>
        <w:szCs w:val="24"/>
        <w:lang w:val="ca-ES" w:eastAsia="en-US" w:bidi="ar-SA"/>
      </w:rPr>
    </w:lvl>
    <w:lvl w:ilvl="1" w:tplc="E2B61CD2">
      <w:start w:val="1"/>
      <w:numFmt w:val="lowerLetter"/>
      <w:lvlText w:val="%2)"/>
      <w:lvlJc w:val="left"/>
      <w:pPr>
        <w:ind w:left="1585" w:hanging="242"/>
        <w:jc w:val="left"/>
      </w:pPr>
      <w:rPr>
        <w:rFonts w:ascii="Calibri" w:eastAsia="Calibri" w:hAnsi="Calibri" w:cs="Calibri" w:hint="default"/>
        <w:b w:val="0"/>
        <w:bCs w:val="0"/>
        <w:i w:val="0"/>
        <w:iCs w:val="0"/>
        <w:spacing w:val="-1"/>
        <w:w w:val="100"/>
        <w:sz w:val="24"/>
        <w:szCs w:val="24"/>
        <w:lang w:val="ca-ES" w:eastAsia="en-US" w:bidi="ar-SA"/>
      </w:rPr>
    </w:lvl>
    <w:lvl w:ilvl="2" w:tplc="1B96A3E4">
      <w:numFmt w:val="bullet"/>
      <w:lvlText w:val="•"/>
      <w:lvlJc w:val="left"/>
      <w:pPr>
        <w:ind w:left="2558" w:hanging="242"/>
      </w:pPr>
      <w:rPr>
        <w:rFonts w:hint="default"/>
        <w:lang w:val="ca-ES" w:eastAsia="en-US" w:bidi="ar-SA"/>
      </w:rPr>
    </w:lvl>
    <w:lvl w:ilvl="3" w:tplc="00AC4232">
      <w:numFmt w:val="bullet"/>
      <w:lvlText w:val="•"/>
      <w:lvlJc w:val="left"/>
      <w:pPr>
        <w:ind w:left="3496" w:hanging="242"/>
      </w:pPr>
      <w:rPr>
        <w:rFonts w:hint="default"/>
        <w:lang w:val="ca-ES" w:eastAsia="en-US" w:bidi="ar-SA"/>
      </w:rPr>
    </w:lvl>
    <w:lvl w:ilvl="4" w:tplc="CB3C76AE">
      <w:numFmt w:val="bullet"/>
      <w:lvlText w:val="•"/>
      <w:lvlJc w:val="left"/>
      <w:pPr>
        <w:ind w:left="4434" w:hanging="242"/>
      </w:pPr>
      <w:rPr>
        <w:rFonts w:hint="default"/>
        <w:lang w:val="ca-ES" w:eastAsia="en-US" w:bidi="ar-SA"/>
      </w:rPr>
    </w:lvl>
    <w:lvl w:ilvl="5" w:tplc="84701D48">
      <w:numFmt w:val="bullet"/>
      <w:lvlText w:val="•"/>
      <w:lvlJc w:val="left"/>
      <w:pPr>
        <w:ind w:left="5373" w:hanging="242"/>
      </w:pPr>
      <w:rPr>
        <w:rFonts w:hint="default"/>
        <w:lang w:val="ca-ES" w:eastAsia="en-US" w:bidi="ar-SA"/>
      </w:rPr>
    </w:lvl>
    <w:lvl w:ilvl="6" w:tplc="D940EF0C">
      <w:numFmt w:val="bullet"/>
      <w:lvlText w:val="•"/>
      <w:lvlJc w:val="left"/>
      <w:pPr>
        <w:ind w:left="6311" w:hanging="242"/>
      </w:pPr>
      <w:rPr>
        <w:rFonts w:hint="default"/>
        <w:lang w:val="ca-ES" w:eastAsia="en-US" w:bidi="ar-SA"/>
      </w:rPr>
    </w:lvl>
    <w:lvl w:ilvl="7" w:tplc="4282E034">
      <w:numFmt w:val="bullet"/>
      <w:lvlText w:val="•"/>
      <w:lvlJc w:val="left"/>
      <w:pPr>
        <w:ind w:left="7249" w:hanging="242"/>
      </w:pPr>
      <w:rPr>
        <w:rFonts w:hint="default"/>
        <w:lang w:val="ca-ES" w:eastAsia="en-US" w:bidi="ar-SA"/>
      </w:rPr>
    </w:lvl>
    <w:lvl w:ilvl="8" w:tplc="D29A08B8">
      <w:numFmt w:val="bullet"/>
      <w:lvlText w:val="•"/>
      <w:lvlJc w:val="left"/>
      <w:pPr>
        <w:ind w:left="8187" w:hanging="242"/>
      </w:pPr>
      <w:rPr>
        <w:rFonts w:hint="default"/>
        <w:lang w:val="ca-ES" w:eastAsia="en-US" w:bidi="ar-SA"/>
      </w:rPr>
    </w:lvl>
  </w:abstractNum>
  <w:abstractNum w:abstractNumId="2" w15:restartNumberingAfterBreak="0">
    <w:nsid w:val="6CC80148"/>
    <w:multiLevelType w:val="hybridMultilevel"/>
    <w:tmpl w:val="D098EDCC"/>
    <w:lvl w:ilvl="0" w:tplc="686667C8">
      <w:start w:val="1"/>
      <w:numFmt w:val="decimal"/>
      <w:lvlText w:val="%1."/>
      <w:lvlJc w:val="left"/>
      <w:pPr>
        <w:ind w:left="306" w:hanging="239"/>
        <w:jc w:val="left"/>
      </w:pPr>
      <w:rPr>
        <w:rFonts w:ascii="Calibri" w:eastAsia="Calibri" w:hAnsi="Calibri" w:cs="Calibri" w:hint="default"/>
        <w:b w:val="0"/>
        <w:bCs w:val="0"/>
        <w:i w:val="0"/>
        <w:iCs w:val="0"/>
        <w:spacing w:val="-1"/>
        <w:w w:val="100"/>
        <w:sz w:val="24"/>
        <w:szCs w:val="24"/>
        <w:lang w:val="ca-ES" w:eastAsia="en-US" w:bidi="ar-SA"/>
      </w:rPr>
    </w:lvl>
    <w:lvl w:ilvl="1" w:tplc="03BEEA58">
      <w:start w:val="2"/>
      <w:numFmt w:val="lowerLetter"/>
      <w:lvlText w:val="%2)"/>
      <w:lvlJc w:val="left"/>
      <w:pPr>
        <w:ind w:left="1597" w:hanging="254"/>
        <w:jc w:val="left"/>
      </w:pPr>
      <w:rPr>
        <w:rFonts w:ascii="Calibri" w:eastAsia="Calibri" w:hAnsi="Calibri" w:cs="Calibri" w:hint="default"/>
        <w:b w:val="0"/>
        <w:bCs w:val="0"/>
        <w:i w:val="0"/>
        <w:iCs w:val="0"/>
        <w:spacing w:val="0"/>
        <w:w w:val="100"/>
        <w:sz w:val="24"/>
        <w:szCs w:val="24"/>
        <w:lang w:val="ca-ES" w:eastAsia="en-US" w:bidi="ar-SA"/>
      </w:rPr>
    </w:lvl>
    <w:lvl w:ilvl="2" w:tplc="E08E25AA">
      <w:numFmt w:val="bullet"/>
      <w:lvlText w:val="•"/>
      <w:lvlJc w:val="left"/>
      <w:pPr>
        <w:ind w:left="2540" w:hanging="254"/>
      </w:pPr>
      <w:rPr>
        <w:rFonts w:hint="default"/>
        <w:lang w:val="ca-ES" w:eastAsia="en-US" w:bidi="ar-SA"/>
      </w:rPr>
    </w:lvl>
    <w:lvl w:ilvl="3" w:tplc="2D102DF8">
      <w:numFmt w:val="bullet"/>
      <w:lvlText w:val="•"/>
      <w:lvlJc w:val="left"/>
      <w:pPr>
        <w:ind w:left="3480" w:hanging="254"/>
      </w:pPr>
      <w:rPr>
        <w:rFonts w:hint="default"/>
        <w:lang w:val="ca-ES" w:eastAsia="en-US" w:bidi="ar-SA"/>
      </w:rPr>
    </w:lvl>
    <w:lvl w:ilvl="4" w:tplc="F874196C">
      <w:numFmt w:val="bullet"/>
      <w:lvlText w:val="•"/>
      <w:lvlJc w:val="left"/>
      <w:pPr>
        <w:ind w:left="4421" w:hanging="254"/>
      </w:pPr>
      <w:rPr>
        <w:rFonts w:hint="default"/>
        <w:lang w:val="ca-ES" w:eastAsia="en-US" w:bidi="ar-SA"/>
      </w:rPr>
    </w:lvl>
    <w:lvl w:ilvl="5" w:tplc="82FA4466">
      <w:numFmt w:val="bullet"/>
      <w:lvlText w:val="•"/>
      <w:lvlJc w:val="left"/>
      <w:pPr>
        <w:ind w:left="5361" w:hanging="254"/>
      </w:pPr>
      <w:rPr>
        <w:rFonts w:hint="default"/>
        <w:lang w:val="ca-ES" w:eastAsia="en-US" w:bidi="ar-SA"/>
      </w:rPr>
    </w:lvl>
    <w:lvl w:ilvl="6" w:tplc="5E0EADDC">
      <w:numFmt w:val="bullet"/>
      <w:lvlText w:val="•"/>
      <w:lvlJc w:val="left"/>
      <w:pPr>
        <w:ind w:left="6302" w:hanging="254"/>
      </w:pPr>
      <w:rPr>
        <w:rFonts w:hint="default"/>
        <w:lang w:val="ca-ES" w:eastAsia="en-US" w:bidi="ar-SA"/>
      </w:rPr>
    </w:lvl>
    <w:lvl w:ilvl="7" w:tplc="856CF1BC">
      <w:numFmt w:val="bullet"/>
      <w:lvlText w:val="•"/>
      <w:lvlJc w:val="left"/>
      <w:pPr>
        <w:ind w:left="7242" w:hanging="254"/>
      </w:pPr>
      <w:rPr>
        <w:rFonts w:hint="default"/>
        <w:lang w:val="ca-ES" w:eastAsia="en-US" w:bidi="ar-SA"/>
      </w:rPr>
    </w:lvl>
    <w:lvl w:ilvl="8" w:tplc="81087D30">
      <w:numFmt w:val="bullet"/>
      <w:lvlText w:val="•"/>
      <w:lvlJc w:val="left"/>
      <w:pPr>
        <w:ind w:left="8183" w:hanging="254"/>
      </w:pPr>
      <w:rPr>
        <w:rFonts w:hint="default"/>
        <w:lang w:val="ca-ES" w:eastAsia="en-US" w:bidi="ar-SA"/>
      </w:rPr>
    </w:lvl>
  </w:abstractNum>
  <w:num w:numId="1" w16cid:durableId="1725256310">
    <w:abstractNumId w:val="0"/>
  </w:num>
  <w:num w:numId="2" w16cid:durableId="1364398360">
    <w:abstractNumId w:val="2"/>
  </w:num>
  <w:num w:numId="3" w16cid:durableId="135831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7175"/>
    <w:rsid w:val="001864AB"/>
    <w:rsid w:val="004C7A6D"/>
    <w:rsid w:val="00821BE7"/>
    <w:rsid w:val="008807C2"/>
    <w:rsid w:val="00DF717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1018"/>
  <w15:docId w15:val="{154F2389-3702-43C6-8F9B-8753399C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134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pPr>
      <w:spacing w:line="24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DE AGUINAGA, MA. JESUS</dc:creator>
  <cp:lastModifiedBy>Esther Castro Sánchez [Linguaserve I.S. SA]</cp:lastModifiedBy>
  <cp:revision>3</cp:revision>
  <cp:lastPrinted>2025-06-26T06:15:00Z</cp:lastPrinted>
  <dcterms:created xsi:type="dcterms:W3CDTF">2025-06-23T14:36:00Z</dcterms:created>
  <dcterms:modified xsi:type="dcterms:W3CDTF">2025-06-26T06:19:00Z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per al Microsoft 365</vt:lpwstr>
  </property>
  <property fmtid="{D5CDD505-2E9C-101B-9397-08002B2CF9AE}" pid="4" name="LastSaved">
    <vt:filetime>2025-06-23T00:00:00Z</vt:filetime>
  </property>
  <property fmtid="{D5CDD505-2E9C-101B-9397-08002B2CF9AE}" pid="5" name="Producer">
    <vt:lpwstr>Microsoft® Word per al Microsoft 365</vt:lpwstr>
  </property>
</Properties>
</file>