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2" w:rsidRPr="00201742" w:rsidRDefault="00210992" w:rsidP="002109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10992" w:rsidRDefault="007F3D14" w:rsidP="00210992">
      <w:pPr>
        <w:spacing w:after="0" w:line="240" w:lineRule="auto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Avantprojecte</w:t>
      </w:r>
      <w:r w:rsidR="00210992">
        <w:rPr>
          <w:rFonts w:cstheme="minorHAnsi"/>
          <w:b/>
        </w:rPr>
        <w:t xml:space="preserve"> de Reglament regulador de la tramitació telemàtica per les persones físiques de la convocatòria de subvencions de l’Ajuntament de Barcelona</w:t>
      </w:r>
    </w:p>
    <w:p w:rsidR="00210992" w:rsidRDefault="00210992" w:rsidP="00210992">
      <w:pPr>
        <w:spacing w:after="0" w:line="240" w:lineRule="auto"/>
        <w:jc w:val="both"/>
        <w:rPr>
          <w:rFonts w:cstheme="minorHAnsi"/>
          <w:b/>
        </w:rPr>
      </w:pPr>
    </w:p>
    <w:p w:rsidR="00210992" w:rsidRDefault="00210992" w:rsidP="00210992">
      <w:pPr>
        <w:spacing w:after="0" w:line="240" w:lineRule="auto"/>
        <w:jc w:val="both"/>
        <w:rPr>
          <w:rFonts w:cstheme="minorHAnsi"/>
          <w:b/>
        </w:rPr>
      </w:pPr>
    </w:p>
    <w:p w:rsidR="00210992" w:rsidRDefault="00210992" w:rsidP="00210992">
      <w:pPr>
        <w:spacing w:after="0" w:line="240" w:lineRule="auto"/>
        <w:ind w:left="357"/>
        <w:jc w:val="both"/>
        <w:rPr>
          <w:rFonts w:cstheme="minorHAnsi"/>
          <w:i/>
        </w:rPr>
      </w:pPr>
      <w:r>
        <w:rPr>
          <w:rFonts w:cstheme="minorHAnsi"/>
        </w:rPr>
        <w:t xml:space="preserve">En compliment del disposat a l’article 133 de la Llei 39/2015, d’1 d’octubre, del procediment administratiu comú de les administracions públiques, es sotmet a consulta pública el </w:t>
      </w:r>
      <w:r w:rsidRPr="00210992">
        <w:rPr>
          <w:rFonts w:cstheme="minorHAnsi"/>
          <w:i/>
        </w:rPr>
        <w:t>“</w:t>
      </w:r>
      <w:r w:rsidR="007F3D14">
        <w:rPr>
          <w:rFonts w:cstheme="minorHAnsi"/>
          <w:i/>
        </w:rPr>
        <w:t>l’Avantp</w:t>
      </w:r>
      <w:r w:rsidRPr="00210992">
        <w:rPr>
          <w:rFonts w:cstheme="minorHAnsi"/>
          <w:i/>
        </w:rPr>
        <w:t>rojecte de Reglament regulador de la tramitació telemàtica per les persones físiques de la convocatòria de subvencions de l’Ajuntament de Barcelona”</w:t>
      </w:r>
      <w:r>
        <w:rPr>
          <w:rFonts w:cstheme="minorHAnsi"/>
          <w:i/>
        </w:rPr>
        <w:t>.</w:t>
      </w:r>
    </w:p>
    <w:p w:rsidR="00210992" w:rsidRDefault="00210992" w:rsidP="00210992">
      <w:pPr>
        <w:spacing w:after="0" w:line="240" w:lineRule="auto"/>
        <w:ind w:left="357"/>
        <w:jc w:val="both"/>
        <w:rPr>
          <w:rFonts w:cstheme="minorHAnsi"/>
          <w:i/>
        </w:rPr>
      </w:pPr>
    </w:p>
    <w:p w:rsidR="00210992" w:rsidRPr="00210992" w:rsidRDefault="00210992" w:rsidP="00210992">
      <w:pPr>
        <w:spacing w:after="0" w:line="240" w:lineRule="auto"/>
        <w:ind w:left="357"/>
        <w:jc w:val="both"/>
        <w:rPr>
          <w:rFonts w:cstheme="minorHAnsi"/>
          <w:u w:val="single"/>
        </w:rPr>
      </w:pPr>
      <w:r w:rsidRPr="00210992">
        <w:rPr>
          <w:rFonts w:cstheme="minorHAnsi"/>
          <w:u w:val="single"/>
        </w:rPr>
        <w:t>Objecte.</w:t>
      </w:r>
    </w:p>
    <w:p w:rsidR="00210992" w:rsidRDefault="00210992" w:rsidP="00210992">
      <w:pPr>
        <w:spacing w:after="0" w:line="240" w:lineRule="auto"/>
        <w:ind w:left="357"/>
        <w:jc w:val="both"/>
        <w:rPr>
          <w:rFonts w:cstheme="minorHAnsi"/>
        </w:rPr>
      </w:pPr>
    </w:p>
    <w:p w:rsidR="00210992" w:rsidRPr="00891F4B" w:rsidRDefault="00210992" w:rsidP="00210992">
      <w:pPr>
        <w:spacing w:after="0" w:line="240" w:lineRule="auto"/>
        <w:ind w:left="357"/>
        <w:jc w:val="both"/>
      </w:pPr>
      <w:r>
        <w:rPr>
          <w:rFonts w:cstheme="minorHAnsi"/>
        </w:rPr>
        <w:t xml:space="preserve">L’esmentat </w:t>
      </w:r>
      <w:r w:rsidR="007F3D14">
        <w:rPr>
          <w:rFonts w:cstheme="minorHAnsi"/>
        </w:rPr>
        <w:t>avant</w:t>
      </w:r>
      <w:bookmarkStart w:id="0" w:name="_GoBack"/>
      <w:bookmarkEnd w:id="0"/>
      <w:r>
        <w:rPr>
          <w:rFonts w:cstheme="minorHAnsi"/>
        </w:rPr>
        <w:t xml:space="preserve">projecte de reglament té per objecte </w:t>
      </w:r>
      <w:r w:rsidRPr="00891F4B">
        <w:rPr>
          <w:rFonts w:eastAsia="Times New Roman" w:cstheme="minorHAnsi"/>
          <w:bCs/>
          <w:lang w:eastAsia="ca-ES"/>
        </w:rPr>
        <w:t>establir</w:t>
      </w:r>
      <w:r>
        <w:rPr>
          <w:rFonts w:eastAsia="Times New Roman" w:cstheme="minorHAnsi"/>
          <w:bCs/>
          <w:lang w:eastAsia="ca-ES"/>
        </w:rPr>
        <w:t xml:space="preserve"> per a les persones físiques,</w:t>
      </w:r>
      <w:r w:rsidRPr="00891F4B">
        <w:rPr>
          <w:rFonts w:eastAsia="Times New Roman" w:cstheme="minorHAnsi"/>
          <w:bCs/>
          <w:lang w:eastAsia="ca-ES"/>
        </w:rPr>
        <w:t xml:space="preserve"> </w:t>
      </w:r>
      <w:r>
        <w:rPr>
          <w:rFonts w:eastAsia="Times New Roman" w:cstheme="minorHAnsi"/>
          <w:bCs/>
          <w:lang w:eastAsia="ca-ES"/>
        </w:rPr>
        <w:t>l’obligatorietat de</w:t>
      </w:r>
      <w:r w:rsidRPr="00891F4B">
        <w:rPr>
          <w:rFonts w:eastAsia="Times New Roman" w:cstheme="minorHAnsi"/>
          <w:bCs/>
          <w:lang w:eastAsia="ca-ES"/>
        </w:rPr>
        <w:t xml:space="preserve"> </w:t>
      </w:r>
      <w:r w:rsidRPr="00891F4B">
        <w:t xml:space="preserve">la forma telemàtica en la presentació de sol·licituds i/o documents adreçats a l’Ajuntament de Barcelona relatius a la </w:t>
      </w:r>
      <w:r w:rsidRPr="00891F4B">
        <w:rPr>
          <w:rFonts w:eastAsia="Arial Narrow" w:cstheme="minorHAnsi"/>
          <w:bCs/>
          <w:spacing w:val="2"/>
          <w:position w:val="-1"/>
        </w:rPr>
        <w:t xml:space="preserve">Convocatòria </w:t>
      </w:r>
      <w:r w:rsidRPr="00891F4B">
        <w:rPr>
          <w:rFonts w:eastAsia="Arial Narrow" w:cstheme="minorHAnsi"/>
          <w:spacing w:val="1"/>
        </w:rPr>
        <w:t xml:space="preserve">ordinària mitjançant </w:t>
      </w:r>
      <w:r w:rsidRPr="00891F4B">
        <w:rPr>
          <w:rFonts w:eastAsia="Arial Narrow" w:cstheme="minorHAnsi"/>
          <w:bCs/>
          <w:spacing w:val="2"/>
          <w:position w:val="-1"/>
        </w:rPr>
        <w:t>concurrència competitiva</w:t>
      </w:r>
      <w:r w:rsidRPr="00891F4B">
        <w:rPr>
          <w:rFonts w:eastAsia="Arial Narrow" w:cstheme="minorHAnsi"/>
          <w:spacing w:val="1"/>
        </w:rPr>
        <w:t xml:space="preserve"> per </w:t>
      </w:r>
      <w:r w:rsidRPr="00891F4B">
        <w:rPr>
          <w:rFonts w:eastAsia="Arial Narrow" w:cstheme="minorHAnsi"/>
        </w:rPr>
        <w:t>a</w:t>
      </w:r>
      <w:r w:rsidRPr="00891F4B">
        <w:rPr>
          <w:rFonts w:eastAsia="Arial Narrow" w:cstheme="minorHAnsi"/>
          <w:spacing w:val="18"/>
        </w:rPr>
        <w:t xml:space="preserve"> </w:t>
      </w:r>
      <w:r w:rsidRPr="00891F4B">
        <w:rPr>
          <w:rFonts w:eastAsia="Arial Narrow" w:cstheme="minorHAnsi"/>
          <w:spacing w:val="1"/>
        </w:rPr>
        <w:t>l</w:t>
      </w:r>
      <w:r w:rsidRPr="00891F4B">
        <w:rPr>
          <w:rFonts w:eastAsia="Arial Narrow" w:cstheme="minorHAnsi"/>
        </w:rPr>
        <w:t>a</w:t>
      </w:r>
      <w:r w:rsidRPr="00891F4B">
        <w:rPr>
          <w:rFonts w:eastAsia="Arial Narrow" w:cstheme="minorHAnsi"/>
          <w:spacing w:val="18"/>
        </w:rPr>
        <w:t xml:space="preserve"> </w:t>
      </w:r>
      <w:r w:rsidRPr="00891F4B">
        <w:rPr>
          <w:rFonts w:eastAsia="Arial Narrow" w:cstheme="minorHAnsi"/>
          <w:spacing w:val="4"/>
        </w:rPr>
        <w:t>c</w:t>
      </w:r>
      <w:r w:rsidRPr="00891F4B">
        <w:rPr>
          <w:rFonts w:eastAsia="Arial Narrow" w:cstheme="minorHAnsi"/>
          <w:spacing w:val="2"/>
        </w:rPr>
        <w:t>o</w:t>
      </w:r>
      <w:r w:rsidRPr="00891F4B">
        <w:rPr>
          <w:rFonts w:eastAsia="Arial Narrow" w:cstheme="minorHAnsi"/>
          <w:spacing w:val="1"/>
        </w:rPr>
        <w:t>n</w:t>
      </w:r>
      <w:r w:rsidRPr="00891F4B">
        <w:rPr>
          <w:rFonts w:eastAsia="Arial Narrow" w:cstheme="minorHAnsi"/>
          <w:spacing w:val="4"/>
        </w:rPr>
        <w:t>c</w:t>
      </w:r>
      <w:r w:rsidRPr="00891F4B">
        <w:rPr>
          <w:rFonts w:eastAsia="Arial Narrow" w:cstheme="minorHAnsi"/>
          <w:spacing w:val="2"/>
        </w:rPr>
        <w:t>e</w:t>
      </w:r>
      <w:r w:rsidRPr="00891F4B">
        <w:rPr>
          <w:rFonts w:eastAsia="Arial Narrow" w:cstheme="minorHAnsi"/>
          <w:spacing w:val="3"/>
        </w:rPr>
        <w:t>s</w:t>
      </w:r>
      <w:r w:rsidRPr="00891F4B">
        <w:rPr>
          <w:rFonts w:eastAsia="Arial Narrow" w:cstheme="minorHAnsi"/>
          <w:spacing w:val="1"/>
        </w:rPr>
        <w:t>s</w:t>
      </w:r>
      <w:r w:rsidRPr="00891F4B">
        <w:rPr>
          <w:rFonts w:eastAsia="Arial Narrow" w:cstheme="minorHAnsi"/>
          <w:spacing w:val="2"/>
        </w:rPr>
        <w:t>i</w:t>
      </w:r>
      <w:r w:rsidRPr="00891F4B">
        <w:rPr>
          <w:rFonts w:eastAsia="Arial Narrow" w:cstheme="minorHAnsi"/>
        </w:rPr>
        <w:t>ó</w:t>
      </w:r>
      <w:r w:rsidRPr="00891F4B">
        <w:rPr>
          <w:rFonts w:eastAsia="Arial Narrow" w:cstheme="minorHAnsi"/>
          <w:spacing w:val="18"/>
        </w:rPr>
        <w:t xml:space="preserve"> </w:t>
      </w:r>
      <w:r w:rsidRPr="00891F4B">
        <w:rPr>
          <w:rFonts w:eastAsia="Arial Narrow" w:cstheme="minorHAnsi"/>
          <w:spacing w:val="1"/>
        </w:rPr>
        <w:t>d</w:t>
      </w:r>
      <w:r w:rsidRPr="00891F4B">
        <w:rPr>
          <w:rFonts w:eastAsia="Arial Narrow" w:cstheme="minorHAnsi"/>
        </w:rPr>
        <w:t>e</w:t>
      </w:r>
      <w:r w:rsidRPr="00891F4B">
        <w:rPr>
          <w:rFonts w:eastAsia="Arial Narrow" w:cstheme="minorHAnsi"/>
          <w:spacing w:val="18"/>
        </w:rPr>
        <w:t xml:space="preserve"> </w:t>
      </w:r>
      <w:r w:rsidRPr="00891F4B">
        <w:rPr>
          <w:rFonts w:eastAsia="Arial Narrow" w:cstheme="minorHAnsi"/>
          <w:spacing w:val="1"/>
        </w:rPr>
        <w:t>su</w:t>
      </w:r>
      <w:r w:rsidRPr="00891F4B">
        <w:rPr>
          <w:rFonts w:eastAsia="Arial Narrow" w:cstheme="minorHAnsi"/>
          <w:spacing w:val="-1"/>
        </w:rPr>
        <w:t>bv</w:t>
      </w:r>
      <w:r w:rsidRPr="00891F4B">
        <w:rPr>
          <w:rFonts w:eastAsia="Arial Narrow" w:cstheme="minorHAnsi"/>
          <w:spacing w:val="1"/>
        </w:rPr>
        <w:t>en</w:t>
      </w:r>
      <w:r w:rsidRPr="00891F4B">
        <w:rPr>
          <w:rFonts w:eastAsia="Arial Narrow" w:cstheme="minorHAnsi"/>
          <w:spacing w:val="3"/>
        </w:rPr>
        <w:t>c</w:t>
      </w:r>
      <w:r w:rsidRPr="00891F4B">
        <w:rPr>
          <w:rFonts w:eastAsia="Arial Narrow" w:cstheme="minorHAnsi"/>
          <w:spacing w:val="2"/>
        </w:rPr>
        <w:t>io</w:t>
      </w:r>
      <w:r w:rsidRPr="00891F4B">
        <w:rPr>
          <w:rFonts w:eastAsia="Arial Narrow" w:cstheme="minorHAnsi"/>
          <w:spacing w:val="1"/>
        </w:rPr>
        <w:t>n</w:t>
      </w:r>
      <w:r w:rsidRPr="00891F4B">
        <w:rPr>
          <w:rFonts w:eastAsia="Arial Narrow" w:cstheme="minorHAnsi"/>
        </w:rPr>
        <w:t xml:space="preserve">s </w:t>
      </w:r>
      <w:r w:rsidRPr="00891F4B">
        <w:rPr>
          <w:rFonts w:eastAsia="Arial Narrow" w:cstheme="minorHAnsi"/>
          <w:spacing w:val="2"/>
        </w:rPr>
        <w:t>p</w:t>
      </w:r>
      <w:r w:rsidRPr="00891F4B">
        <w:rPr>
          <w:rFonts w:eastAsia="Arial Narrow" w:cstheme="minorHAnsi"/>
          <w:spacing w:val="1"/>
        </w:rPr>
        <w:t>e</w:t>
      </w:r>
      <w:r w:rsidRPr="00891F4B">
        <w:rPr>
          <w:rFonts w:eastAsia="Arial Narrow" w:cstheme="minorHAnsi"/>
        </w:rPr>
        <w:t>r</w:t>
      </w:r>
      <w:r w:rsidRPr="00891F4B">
        <w:rPr>
          <w:rFonts w:eastAsia="Arial Narrow" w:cstheme="minorHAnsi"/>
          <w:spacing w:val="-3"/>
        </w:rPr>
        <w:t xml:space="preserve"> </w:t>
      </w:r>
      <w:r w:rsidRPr="00891F4B">
        <w:rPr>
          <w:rFonts w:eastAsia="Arial Narrow" w:cstheme="minorHAnsi"/>
          <w:spacing w:val="1"/>
        </w:rPr>
        <w:t>du</w:t>
      </w:r>
      <w:r w:rsidRPr="00891F4B">
        <w:rPr>
          <w:rFonts w:eastAsia="Arial Narrow" w:cstheme="minorHAnsi"/>
        </w:rPr>
        <w:t>r</w:t>
      </w:r>
      <w:r w:rsidRPr="00891F4B">
        <w:rPr>
          <w:rFonts w:eastAsia="Arial Narrow" w:cstheme="minorHAnsi"/>
          <w:spacing w:val="-3"/>
        </w:rPr>
        <w:t xml:space="preserve"> </w:t>
      </w:r>
      <w:r w:rsidRPr="00891F4B">
        <w:rPr>
          <w:rFonts w:eastAsia="Arial Narrow" w:cstheme="minorHAnsi"/>
        </w:rPr>
        <w:t>a</w:t>
      </w:r>
      <w:r w:rsidRPr="00891F4B">
        <w:rPr>
          <w:rFonts w:eastAsia="Arial Narrow" w:cstheme="minorHAnsi"/>
          <w:spacing w:val="-2"/>
        </w:rPr>
        <w:t xml:space="preserve"> </w:t>
      </w:r>
      <w:r w:rsidRPr="00891F4B">
        <w:rPr>
          <w:rFonts w:eastAsia="Arial Narrow" w:cstheme="minorHAnsi"/>
          <w:spacing w:val="1"/>
        </w:rPr>
        <w:t>te</w:t>
      </w:r>
      <w:r w:rsidRPr="00891F4B">
        <w:rPr>
          <w:rFonts w:eastAsia="Arial Narrow" w:cstheme="minorHAnsi"/>
          <w:spacing w:val="4"/>
        </w:rPr>
        <w:t>r</w:t>
      </w:r>
      <w:r w:rsidRPr="00891F4B">
        <w:rPr>
          <w:rFonts w:eastAsia="Arial Narrow" w:cstheme="minorHAnsi"/>
          <w:spacing w:val="2"/>
        </w:rPr>
        <w:t>m</w:t>
      </w:r>
      <w:r w:rsidRPr="00891F4B">
        <w:rPr>
          <w:rFonts w:eastAsia="Arial Narrow" w:cstheme="minorHAnsi"/>
        </w:rPr>
        <w:t>e</w:t>
      </w:r>
      <w:r w:rsidRPr="00891F4B">
        <w:rPr>
          <w:rFonts w:eastAsia="Arial Narrow" w:cstheme="minorHAnsi"/>
          <w:spacing w:val="-3"/>
        </w:rPr>
        <w:t xml:space="preserve"> </w:t>
      </w:r>
      <w:r w:rsidRPr="00891F4B">
        <w:rPr>
          <w:rFonts w:eastAsia="Arial Narrow" w:cstheme="minorHAnsi"/>
          <w:bCs/>
          <w:spacing w:val="2"/>
          <w:position w:val="-1"/>
        </w:rPr>
        <w:t>projectes, activitats i serveis de districte i de ciutat</w:t>
      </w:r>
      <w:r>
        <w:rPr>
          <w:rFonts w:eastAsia="Arial Narrow" w:cstheme="minorHAnsi"/>
          <w:spacing w:val="-2"/>
        </w:rPr>
        <w:t>.</w:t>
      </w:r>
    </w:p>
    <w:p w:rsidR="00210992" w:rsidRPr="00210992" w:rsidRDefault="00210992" w:rsidP="00210992">
      <w:pPr>
        <w:suppressAutoHyphens/>
        <w:spacing w:before="240" w:after="120" w:line="240" w:lineRule="auto"/>
        <w:ind w:left="357"/>
        <w:jc w:val="both"/>
        <w:rPr>
          <w:rFonts w:eastAsia="Times New Roman" w:cstheme="minorHAnsi"/>
          <w:bCs/>
          <w:u w:val="single"/>
          <w:lang w:eastAsia="ca-ES"/>
        </w:rPr>
      </w:pPr>
      <w:r w:rsidRPr="00210992">
        <w:rPr>
          <w:rFonts w:eastAsia="Times New Roman" w:cstheme="minorHAnsi"/>
          <w:bCs/>
          <w:u w:val="single"/>
          <w:lang w:eastAsia="ca-ES"/>
        </w:rPr>
        <w:t>Finalitat i justificació de la norma.</w:t>
      </w:r>
    </w:p>
    <w:p w:rsidR="00220C3C" w:rsidRDefault="00210992" w:rsidP="00220C3C">
      <w:pPr>
        <w:spacing w:before="240" w:after="120"/>
        <w:ind w:left="357"/>
        <w:jc w:val="both"/>
        <w:rPr>
          <w:rFonts w:eastAsia="Times New Roman" w:cstheme="minorHAnsi"/>
          <w:bCs/>
          <w:lang w:eastAsia="ca-ES"/>
        </w:rPr>
      </w:pPr>
      <w:r w:rsidRPr="00891F4B">
        <w:rPr>
          <w:rFonts w:eastAsia="Times New Roman" w:cstheme="minorHAnsi"/>
          <w:bCs/>
          <w:lang w:eastAsia="ca-ES"/>
        </w:rPr>
        <w:t>Es tracta de tramitar i aprovar la norma que habilita l’Ajuntament de Barcelona a establir que les persones físiques que vulguin participar en la Convocatòria General de Subvencions per l’any 2020 ho faran exclusivament amb mitjans electrònics</w:t>
      </w:r>
      <w:r>
        <w:rPr>
          <w:rFonts w:eastAsia="Times New Roman" w:cstheme="minorHAnsi"/>
          <w:bCs/>
          <w:lang w:eastAsia="ca-ES"/>
        </w:rPr>
        <w:t xml:space="preserve"> amb la finalitat d’evolucionar en l’efectiva implantació de l’administració electrònica en l’actuació municipal</w:t>
      </w:r>
      <w:r w:rsidRPr="00891F4B">
        <w:rPr>
          <w:rFonts w:eastAsia="Times New Roman" w:cstheme="minorHAnsi"/>
          <w:bCs/>
          <w:lang w:eastAsia="ca-ES"/>
        </w:rPr>
        <w:t>.</w:t>
      </w:r>
    </w:p>
    <w:p w:rsidR="00220C3C" w:rsidRDefault="00220C3C" w:rsidP="00220C3C">
      <w:pPr>
        <w:ind w:firstLine="357"/>
        <w:jc w:val="both"/>
        <w:rPr>
          <w:rFonts w:cstheme="minorHAnsi"/>
          <w:color w:val="000000" w:themeColor="text1"/>
          <w:u w:val="single"/>
        </w:rPr>
      </w:pPr>
      <w:r w:rsidRPr="00210992">
        <w:rPr>
          <w:rFonts w:cstheme="minorHAnsi"/>
          <w:color w:val="000000" w:themeColor="text1"/>
          <w:u w:val="single"/>
        </w:rPr>
        <w:t>Fonament jurídic.</w:t>
      </w:r>
    </w:p>
    <w:p w:rsidR="00220C3C" w:rsidRDefault="00220C3C" w:rsidP="00220C3C">
      <w:pPr>
        <w:ind w:left="357"/>
        <w:jc w:val="both"/>
        <w:rPr>
          <w:rFonts w:cstheme="minorHAnsi"/>
          <w:color w:val="000000" w:themeColor="text1"/>
        </w:rPr>
      </w:pPr>
      <w:r w:rsidRPr="00891F4B">
        <w:rPr>
          <w:rFonts w:cstheme="minorHAnsi"/>
          <w:color w:val="000000" w:themeColor="text1"/>
        </w:rPr>
        <w:t xml:space="preserve">D’acord amb l’article 14.3 de la </w:t>
      </w:r>
      <w:r w:rsidRPr="00891F4B">
        <w:rPr>
          <w:rFonts w:eastAsia="Times New Roman" w:cstheme="minorHAnsi"/>
          <w:bCs/>
          <w:lang w:eastAsia="ca-ES"/>
        </w:rPr>
        <w:t xml:space="preserve">Llei 39/2015, d’1 d’octubre del Procediment administratiu </w:t>
      </w:r>
      <w:r>
        <w:rPr>
          <w:rFonts w:eastAsia="Times New Roman" w:cstheme="minorHAnsi"/>
          <w:bCs/>
          <w:lang w:eastAsia="ca-ES"/>
        </w:rPr>
        <w:t xml:space="preserve">   </w:t>
      </w:r>
      <w:r w:rsidRPr="00891F4B">
        <w:rPr>
          <w:rFonts w:eastAsia="Times New Roman" w:cstheme="minorHAnsi"/>
          <w:bCs/>
          <w:lang w:eastAsia="ca-ES"/>
        </w:rPr>
        <w:t>comú de les administracions publiques</w:t>
      </w:r>
      <w:r>
        <w:rPr>
          <w:rFonts w:eastAsia="Times New Roman" w:cstheme="minorHAnsi"/>
          <w:bCs/>
          <w:lang w:eastAsia="ca-ES"/>
        </w:rPr>
        <w:t>,</w:t>
      </w:r>
      <w:r>
        <w:t xml:space="preserve"> </w:t>
      </w:r>
      <w:r w:rsidRPr="009A4637">
        <w:rPr>
          <w:i/>
        </w:rPr>
        <w:t>Reglamentàriament, les administracions poden establir l’obligació de relacionar-se amb elles a través de mitjans electrònics per a determinats procediments i per a certs col·lectius de persones físiques que per raó de la seva capacitat econòmica, tècnica, dedicació professional o altres motius quedi acreditat que tenen accés i disponibilitat dels mitjans electrònics necessaris</w:t>
      </w:r>
      <w:r w:rsidRPr="009A4637">
        <w:rPr>
          <w:rFonts w:cstheme="minorHAnsi"/>
          <w:i/>
          <w:color w:val="000000" w:themeColor="text1"/>
        </w:rPr>
        <w:t>.</w:t>
      </w:r>
      <w:r w:rsidRPr="00891F4B">
        <w:rPr>
          <w:rFonts w:cstheme="minorHAnsi"/>
          <w:color w:val="000000" w:themeColor="text1"/>
        </w:rPr>
        <w:t xml:space="preserve"> </w:t>
      </w:r>
    </w:p>
    <w:p w:rsidR="00220C3C" w:rsidRPr="00210992" w:rsidRDefault="00220C3C" w:rsidP="00220C3C">
      <w:pPr>
        <w:ind w:left="357"/>
        <w:jc w:val="both"/>
        <w:rPr>
          <w:rFonts w:cstheme="minorHAnsi"/>
          <w:color w:val="000000" w:themeColor="text1"/>
          <w:u w:val="single"/>
        </w:rPr>
      </w:pPr>
      <w:r w:rsidRPr="00891F4B">
        <w:rPr>
          <w:rFonts w:cstheme="minorHAnsi"/>
          <w:color w:val="000000" w:themeColor="text1"/>
        </w:rPr>
        <w:t xml:space="preserve">Així mateix, l’article 9.3 de la </w:t>
      </w:r>
      <w:r w:rsidRPr="00891F4B">
        <w:t xml:space="preserve">Ordenança reguladora de l’administració electrònica de l’Ajuntament de Barcelona </w:t>
      </w:r>
      <w:r>
        <w:t>aprovada per acord del</w:t>
      </w:r>
      <w:r w:rsidRPr="00891F4B">
        <w:t xml:space="preserve"> Plenari del Consell Municipal, en sessió del dia 21 de desembre de 2018 (BOPB 1-2-2019) </w:t>
      </w:r>
      <w:r>
        <w:t xml:space="preserve">disposa que serà </w:t>
      </w:r>
      <w:r w:rsidRPr="009A4637">
        <w:rPr>
          <w:i/>
        </w:rPr>
        <w:t xml:space="preserve">mitjançant una disposició de caràcter general de la Comissió de Govern, que es pot estendre la obligació de relacionar-se electrònicament amb l’Administració municipal, ja sigui amb caràcter global o només per a determinats procediments, a certs col·lectius de persones físiques que, per raó de la seva </w:t>
      </w:r>
      <w:r w:rsidRPr="009A4637">
        <w:rPr>
          <w:i/>
        </w:rPr>
        <w:lastRenderedPageBreak/>
        <w:t>capacitat econòmica, tècnica, dedicació professional o altres motius, quedi acreditat que tenen accés i disponibilitat als mitjans electrònics necessaris</w:t>
      </w:r>
      <w:r w:rsidRPr="00891F4B">
        <w:t xml:space="preserve">. </w:t>
      </w:r>
      <w:r>
        <w:t>En aquesta mateixa línia, l’article 26 de la Llei 22/1998, de 30 de desembre de la Carta municipal que en relació a la potestat normativa municipal estableix en l’apartat c) els decrets de la Comissió de Govern.</w:t>
      </w:r>
    </w:p>
    <w:p w:rsidR="00210992" w:rsidRPr="00891F4B" w:rsidRDefault="00210992" w:rsidP="00220C3C">
      <w:pPr>
        <w:spacing w:before="240" w:after="120"/>
        <w:ind w:left="357"/>
        <w:jc w:val="both"/>
        <w:rPr>
          <w:rFonts w:eastAsia="Times New Roman" w:cstheme="minorHAnsi"/>
          <w:bCs/>
          <w:lang w:eastAsia="ca-ES"/>
        </w:rPr>
      </w:pPr>
    </w:p>
    <w:p w:rsidR="00210992" w:rsidRPr="00891F4B" w:rsidRDefault="00210992" w:rsidP="00210992">
      <w:pPr>
        <w:jc w:val="both"/>
        <w:rPr>
          <w:rFonts w:cstheme="minorHAnsi"/>
          <w:color w:val="000000" w:themeColor="text1"/>
        </w:rPr>
      </w:pPr>
      <w:r w:rsidRPr="00210992">
        <w:rPr>
          <w:rFonts w:cstheme="minorHAnsi"/>
          <w:color w:val="000000" w:themeColor="text1"/>
        </w:rPr>
        <w:t xml:space="preserve">       </w:t>
      </w:r>
      <w:r w:rsidRPr="00891F4B">
        <w:rPr>
          <w:rFonts w:cstheme="minorHAnsi"/>
          <w:color w:val="000000" w:themeColor="text1"/>
        </w:rPr>
        <w:t xml:space="preserve">Barcelona, </w:t>
      </w:r>
      <w:r w:rsidR="00220C3C">
        <w:rPr>
          <w:rFonts w:cstheme="minorHAnsi"/>
          <w:color w:val="000000" w:themeColor="text1"/>
        </w:rPr>
        <w:t xml:space="preserve"> 6 de novembre de 2019</w:t>
      </w:r>
    </w:p>
    <w:p w:rsidR="00210992" w:rsidRDefault="00210992" w:rsidP="00210992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CC4015" w:rsidRDefault="00CC4015"/>
    <w:sectPr w:rsidR="00CC4015" w:rsidSect="006A7BA3">
      <w:headerReference w:type="default" r:id="rId7"/>
      <w:footerReference w:type="default" r:id="rId8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09" w:rsidRDefault="00DC3309" w:rsidP="00210992">
      <w:pPr>
        <w:spacing w:after="0" w:line="240" w:lineRule="auto"/>
      </w:pPr>
      <w:r>
        <w:separator/>
      </w:r>
    </w:p>
  </w:endnote>
  <w:endnote w:type="continuationSeparator" w:id="0">
    <w:p w:rsidR="00DC3309" w:rsidRDefault="00DC3309" w:rsidP="0021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7187"/>
      <w:docPartObj>
        <w:docPartGallery w:val="Page Numbers (Bottom of Page)"/>
        <w:docPartUnique/>
      </w:docPartObj>
    </w:sdtPr>
    <w:sdtEndPr/>
    <w:sdtContent>
      <w:p w:rsidR="00E72C30" w:rsidRDefault="00220C3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14">
          <w:rPr>
            <w:noProof/>
          </w:rPr>
          <w:t>1</w:t>
        </w:r>
        <w:r>
          <w:fldChar w:fldCharType="end"/>
        </w:r>
      </w:p>
    </w:sdtContent>
  </w:sdt>
  <w:p w:rsidR="0075507F" w:rsidRDefault="00DC330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09" w:rsidRDefault="00DC3309" w:rsidP="00210992">
      <w:pPr>
        <w:spacing w:after="0" w:line="240" w:lineRule="auto"/>
      </w:pPr>
      <w:r>
        <w:separator/>
      </w:r>
    </w:p>
  </w:footnote>
  <w:footnote w:type="continuationSeparator" w:id="0">
    <w:p w:rsidR="00DC3309" w:rsidRDefault="00DC3309" w:rsidP="0021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</w:tblGrid>
    <w:tr w:rsidR="0075507F" w:rsidTr="00BD3FE7">
      <w:trPr>
        <w:cantSplit/>
        <w:trHeight w:val="1697"/>
      </w:trPr>
      <w:tc>
        <w:tcPr>
          <w:tcW w:w="1323" w:type="dxa"/>
        </w:tcPr>
        <w:p w:rsidR="0075507F" w:rsidRDefault="00220C3C" w:rsidP="00BD3FE7">
          <w:pPr>
            <w:pStyle w:val="Senseespaia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530A1B01" wp14:editId="45BAC589">
                <wp:simplePos x="0" y="0"/>
                <wp:positionH relativeFrom="page">
                  <wp:posOffset>-1905</wp:posOffset>
                </wp:positionH>
                <wp:positionV relativeFrom="page">
                  <wp:posOffset>-187325</wp:posOffset>
                </wp:positionV>
                <wp:extent cx="1209675" cy="333375"/>
                <wp:effectExtent l="0" t="0" r="9525" b="9525"/>
                <wp:wrapNone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  <w:tbl>
          <w:tblPr>
            <w:tblW w:w="858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726"/>
            <w:gridCol w:w="2863"/>
          </w:tblGrid>
          <w:tr w:rsidR="0075507F" w:rsidTr="00F1550C">
            <w:trPr>
              <w:cantSplit/>
              <w:trHeight w:val="1296"/>
            </w:trPr>
            <w:tc>
              <w:tcPr>
                <w:tcW w:w="5726" w:type="dxa"/>
              </w:tcPr>
              <w:tbl>
                <w:tblPr>
                  <w:tblW w:w="8876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625"/>
                  <w:gridCol w:w="3126"/>
                  <w:gridCol w:w="1125"/>
                </w:tblGrid>
                <w:tr w:rsidR="0075507F" w:rsidTr="00F1550C">
                  <w:trPr>
                    <w:gridAfter w:val="1"/>
                    <w:wAfter w:w="1125" w:type="dxa"/>
                    <w:cantSplit/>
                    <w:trHeight w:val="431"/>
                  </w:trPr>
                  <w:tc>
                    <w:tcPr>
                      <w:tcW w:w="4625" w:type="dxa"/>
                    </w:tcPr>
                    <w:tbl>
                      <w:tblPr>
                        <w:tblW w:w="101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97"/>
                        <w:gridCol w:w="4868"/>
                      </w:tblGrid>
                      <w:tr w:rsidR="0075507F" w:rsidRPr="00A00B57" w:rsidTr="00F1550C">
                        <w:trPr>
                          <w:cantSplit/>
                          <w:trHeight w:val="431"/>
                        </w:trPr>
                        <w:tc>
                          <w:tcPr>
                            <w:tcW w:w="5297" w:type="dxa"/>
                          </w:tcPr>
                          <w:p w:rsidR="0075507F" w:rsidRPr="00A00B57" w:rsidRDefault="00DC3309" w:rsidP="00BD3FE7"/>
                        </w:tc>
                        <w:tc>
                          <w:tcPr>
                            <w:tcW w:w="4868" w:type="dxa"/>
                          </w:tcPr>
                          <w:p w:rsidR="0075507F" w:rsidRPr="00A00B57" w:rsidRDefault="00DC3309" w:rsidP="00BD3FE7">
                            <w:pPr>
                              <w:tabs>
                                <w:tab w:val="left" w:pos="142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5507F" w:rsidRPr="00A00B57" w:rsidRDefault="00DC3309" w:rsidP="00BD3FE7">
                      <w:pPr>
                        <w:jc w:val="both"/>
                      </w:pPr>
                    </w:p>
                  </w:tc>
                  <w:tc>
                    <w:tcPr>
                      <w:tcW w:w="3126" w:type="dxa"/>
                    </w:tcPr>
                    <w:p w:rsidR="0075507F" w:rsidRPr="00A00B57" w:rsidRDefault="00DC3309" w:rsidP="00BD3FE7">
                      <w:pPr>
                        <w:jc w:val="both"/>
                      </w:pPr>
                    </w:p>
                  </w:tc>
                </w:tr>
                <w:tr w:rsidR="0075507F" w:rsidTr="00F1550C">
                  <w:trPr>
                    <w:cantSplit/>
                    <w:trHeight w:val="104"/>
                  </w:trPr>
                  <w:tc>
                    <w:tcPr>
                      <w:tcW w:w="4625" w:type="dxa"/>
                    </w:tcPr>
                    <w:p w:rsidR="0075507F" w:rsidRDefault="00210992" w:rsidP="00BD3FE7">
                      <w:r>
                        <w:t xml:space="preserve"> </w:t>
                      </w:r>
                    </w:p>
                  </w:tc>
                  <w:tc>
                    <w:tcPr>
                      <w:tcW w:w="4251" w:type="dxa"/>
                      <w:gridSpan w:val="2"/>
                    </w:tcPr>
                    <w:p w:rsidR="0075507F" w:rsidRDefault="00DC3309" w:rsidP="00BD3FE7">
                      <w:pPr>
                        <w:tabs>
                          <w:tab w:val="left" w:pos="142"/>
                        </w:tabs>
                        <w:jc w:val="right"/>
                        <w:rPr>
                          <w:sz w:val="18"/>
                        </w:rPr>
                      </w:pPr>
                    </w:p>
                  </w:tc>
                </w:tr>
                <w:tr w:rsidR="00210992" w:rsidTr="00F1550C">
                  <w:trPr>
                    <w:cantSplit/>
                    <w:trHeight w:val="104"/>
                  </w:trPr>
                  <w:tc>
                    <w:tcPr>
                      <w:tcW w:w="4625" w:type="dxa"/>
                    </w:tcPr>
                    <w:p w:rsidR="00210992" w:rsidRDefault="00210992" w:rsidP="00BD3FE7"/>
                  </w:tc>
                  <w:tc>
                    <w:tcPr>
                      <w:tcW w:w="4251" w:type="dxa"/>
                      <w:gridSpan w:val="2"/>
                    </w:tcPr>
                    <w:p w:rsidR="00210992" w:rsidRDefault="00210992" w:rsidP="00BD3FE7">
                      <w:pPr>
                        <w:tabs>
                          <w:tab w:val="left" w:pos="142"/>
                        </w:tabs>
                        <w:jc w:val="right"/>
                        <w:rPr>
                          <w:sz w:val="18"/>
                        </w:rPr>
                      </w:pPr>
                    </w:p>
                  </w:tc>
                </w:tr>
                <w:tr w:rsidR="00210992" w:rsidTr="00F1550C">
                  <w:trPr>
                    <w:cantSplit/>
                    <w:trHeight w:val="104"/>
                  </w:trPr>
                  <w:tc>
                    <w:tcPr>
                      <w:tcW w:w="4625" w:type="dxa"/>
                    </w:tcPr>
                    <w:p w:rsidR="00210992" w:rsidRDefault="00210992" w:rsidP="00BD3FE7"/>
                  </w:tc>
                  <w:tc>
                    <w:tcPr>
                      <w:tcW w:w="4251" w:type="dxa"/>
                      <w:gridSpan w:val="2"/>
                    </w:tcPr>
                    <w:p w:rsidR="00210992" w:rsidRDefault="00210992" w:rsidP="00BD3FE7">
                      <w:pPr>
                        <w:tabs>
                          <w:tab w:val="left" w:pos="142"/>
                        </w:tabs>
                        <w:jc w:val="right"/>
                        <w:rPr>
                          <w:sz w:val="18"/>
                        </w:rPr>
                      </w:pPr>
                    </w:p>
                  </w:tc>
                </w:tr>
              </w:tbl>
              <w:p w:rsidR="0075507F" w:rsidRDefault="00DC3309" w:rsidP="00BD3FE7"/>
            </w:tc>
            <w:tc>
              <w:tcPr>
                <w:tcW w:w="2863" w:type="dxa"/>
              </w:tcPr>
              <w:p w:rsidR="0075507F" w:rsidRDefault="00DC3309" w:rsidP="00BD3FE7">
                <w:pPr>
                  <w:tabs>
                    <w:tab w:val="left" w:pos="142"/>
                  </w:tabs>
                  <w:rPr>
                    <w:b/>
                    <w:sz w:val="18"/>
                  </w:rPr>
                </w:pPr>
              </w:p>
              <w:p w:rsidR="0075507F" w:rsidRDefault="00DC3309" w:rsidP="00BD3FE7">
                <w:pPr>
                  <w:tabs>
                    <w:tab w:val="left" w:pos="142"/>
                  </w:tabs>
                  <w:rPr>
                    <w:sz w:val="18"/>
                  </w:rPr>
                </w:pPr>
              </w:p>
            </w:tc>
          </w:tr>
        </w:tbl>
        <w:p w:rsidR="0075507F" w:rsidRDefault="00DC3309" w:rsidP="00BD3FE7">
          <w:pPr>
            <w:pStyle w:val="Senseespaiat"/>
          </w:pPr>
        </w:p>
      </w:tc>
    </w:tr>
  </w:tbl>
  <w:p w:rsidR="0075507F" w:rsidRPr="009D33B2" w:rsidRDefault="00DC3309" w:rsidP="00E210BA">
    <w:pPr>
      <w:pStyle w:val="Capalera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2"/>
    <w:rsid w:val="00210992"/>
    <w:rsid w:val="00220C3C"/>
    <w:rsid w:val="007F3D14"/>
    <w:rsid w:val="00CC4015"/>
    <w:rsid w:val="00D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9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10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0992"/>
  </w:style>
  <w:style w:type="paragraph" w:styleId="Peu">
    <w:name w:val="footer"/>
    <w:basedOn w:val="Normal"/>
    <w:link w:val="PeuCar"/>
    <w:uiPriority w:val="99"/>
    <w:unhideWhenUsed/>
    <w:rsid w:val="00210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10992"/>
  </w:style>
  <w:style w:type="paragraph" w:styleId="Senseespaiat">
    <w:name w:val="No Spacing"/>
    <w:uiPriority w:val="1"/>
    <w:qFormat/>
    <w:rsid w:val="00210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9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10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0992"/>
  </w:style>
  <w:style w:type="paragraph" w:styleId="Peu">
    <w:name w:val="footer"/>
    <w:basedOn w:val="Normal"/>
    <w:link w:val="PeuCar"/>
    <w:uiPriority w:val="99"/>
    <w:unhideWhenUsed/>
    <w:rsid w:val="00210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10992"/>
  </w:style>
  <w:style w:type="paragraph" w:styleId="Senseespaiat">
    <w:name w:val="No Spacing"/>
    <w:uiPriority w:val="1"/>
    <w:qFormat/>
    <w:rsid w:val="0021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2019-11-07T11:49:00Z</dcterms:created>
  <dcterms:modified xsi:type="dcterms:W3CDTF">2019-11-07T12:29:00Z</dcterms:modified>
</cp:coreProperties>
</file>